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MINISTERSTWO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RODZINY I POLITYKI SPOŁECZNEJ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 xml:space="preserve">Program „Asystent osobisty osoby niepełnosprawnej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FF0000"/>
          <w:sz w:val="36"/>
          <w:szCs w:val="36"/>
        </w:rPr>
      </w:pPr>
      <w:r>
        <w:rPr>
          <w:rFonts w:ascii="Times New Roman" w:hAnsi="Times New Roman"/>
          <w:b/>
          <w:i/>
          <w:color w:val="FF0000"/>
          <w:sz w:val="36"/>
          <w:szCs w:val="36"/>
        </w:rPr>
        <w:t>– </w:t>
      </w:r>
      <w:r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Warszawa, grudzień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r.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Spis treści</w:t>
      </w:r>
    </w:p>
    <w:sdt>
      <w:sdtPr>
        <w:docPartObj>
          <w:docPartGallery w:val="Table of Contents"/>
          <w:docPartUnique w:val="true"/>
        </w:docPartObj>
        <w:id w:val="1203084823"/>
      </w:sdtPr>
      <w:sdtContent>
        <w:p>
          <w:pPr>
            <w:pStyle w:val="Spistreci1"/>
            <w:tabs>
              <w:tab w:val="right" w:pos="9062" w:leader="dot"/>
            </w:tabs>
            <w:rPr>
              <w:rFonts w:ascii="Times New Roman" w:hAnsi="Times New Roman"/>
              <w:bCs/>
              <w:sz w:val="28"/>
              <w:szCs w:val="28"/>
            </w:rPr>
          </w:pPr>
          <w:r>
            <w:rPr>
              <w:rFonts w:ascii="Times New Roman" w:hAnsi="Times New Roman"/>
              <w:bCs/>
              <w:sz w:val="28"/>
              <w:szCs w:val="28"/>
            </w:rPr>
          </w:r>
        </w:p>
        <w:p>
          <w:pPr>
            <w:pStyle w:val="Spistreci1"/>
            <w:tabs>
              <w:tab w:val="right" w:pos="9062" w:leader="dot"/>
            </w:tabs>
            <w:rPr/>
          </w:pPr>
          <w:r>
            <w:rPr/>
          </w:r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56768962">
            <w:r>
              <w:rPr>
                <w:webHidden/>
                <w:rStyle w:val="Czeindeksu"/>
                <w:rFonts w:ascii="Times New Roman" w:hAnsi="Times New Roman"/>
                <w:b/>
              </w:rPr>
              <w:t>Wstęp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_Toc56768962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63">
            <w:r>
              <w:rPr>
                <w:webHidden/>
                <w:rStyle w:val="Czeindeksu"/>
                <w:rFonts w:ascii="Times New Roman" w:hAnsi="Times New Roman"/>
                <w:b/>
              </w:rPr>
              <w:t>I. Podstawa prawna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_Toc56768963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64">
            <w:r>
              <w:rPr>
                <w:webHidden/>
                <w:rStyle w:val="Czeindeksu"/>
                <w:rFonts w:ascii="Times New Roman" w:hAnsi="Times New Roman"/>
                <w:b/>
              </w:rPr>
              <w:t>II. Diagnoza sytuacji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_Toc56768964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65">
            <w:r>
              <w:rPr>
                <w:webHidden/>
                <w:rStyle w:val="Czeindeksu"/>
                <w:rFonts w:ascii="Times New Roman" w:hAnsi="Times New Roman"/>
                <w:b/>
              </w:rPr>
              <w:t>III. Cele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_Toc56768965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66">
            <w:r>
              <w:rPr>
                <w:webHidden/>
                <w:rStyle w:val="Czeindeksu"/>
                <w:rFonts w:ascii="Times New Roman" w:hAnsi="Times New Roman"/>
                <w:b/>
              </w:rPr>
              <w:t>IV. Adresaci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_Toc56768966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68">
            <w:r>
              <w:rPr>
                <w:webHidden/>
                <w:rStyle w:val="Czeindeksu"/>
                <w:rFonts w:ascii="Times New Roman" w:hAnsi="Times New Roman"/>
                <w:b/>
              </w:rPr>
              <w:t>V. Zakres podmiotowy i przedmiotowy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_Toc56768968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69">
            <w:r>
              <w:rPr>
                <w:webHidden/>
                <w:rStyle w:val="Czeindeksu"/>
                <w:rFonts w:ascii="Times New Roman" w:hAnsi="Times New Roman"/>
                <w:b/>
              </w:rPr>
              <w:t>VI. Kwalifikowalność kosztów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_Toc56768969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70">
            <w:r>
              <w:rPr>
                <w:webHidden/>
                <w:rStyle w:val="Czeindeksu"/>
                <w:rFonts w:ascii="Times New Roman" w:hAnsi="Times New Roman"/>
                <w:b/>
              </w:rPr>
              <w:t>VII. Finansowanie Programu oraz warunki przyznawania gminom/powiatom środków z Funduszu Solidarnościowego przeznaczonych na realizację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_Toc56768970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71">
            <w:r>
              <w:rPr>
                <w:webHidden/>
                <w:rStyle w:val="Czeindeksu"/>
                <w:rFonts w:ascii="Times New Roman" w:hAnsi="Times New Roman"/>
                <w:b/>
              </w:rPr>
              <w:t>VIII. Terminy i warunki realizacji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_Toc56768971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72">
            <w:r>
              <w:rPr>
                <w:webHidden/>
                <w:rStyle w:val="Czeindeksu"/>
                <w:rFonts w:ascii="Times New Roman" w:hAnsi="Times New Roman"/>
                <w:b/>
              </w:rPr>
              <w:t>IX. Tryb przystąpienia do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_Toc56768972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73">
            <w:r>
              <w:rPr>
                <w:webHidden/>
                <w:rStyle w:val="Czeindeksu"/>
                <w:rFonts w:ascii="Times New Roman" w:hAnsi="Times New Roman"/>
                <w:b/>
              </w:rPr>
              <w:t>X. Kryteria naboru wniosków przez Wojewodę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_Toc56768973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74">
            <w:r>
              <w:rPr>
                <w:webHidden/>
                <w:rStyle w:val="Czeindeksu"/>
                <w:rFonts w:ascii="Times New Roman" w:hAnsi="Times New Roman"/>
                <w:b/>
              </w:rPr>
              <w:t>XI.</w:t>
            </w:r>
            <w:r>
              <w:rPr>
                <w:rStyle w:val="Czeindeksu"/>
                <w:rFonts w:ascii="Times New Roman" w:hAnsi="Times New Roman"/>
              </w:rPr>
              <w:t xml:space="preserve"> </w:t>
            </w:r>
            <w:r>
              <w:rPr>
                <w:rStyle w:val="Czeindeksu"/>
                <w:rFonts w:ascii="Times New Roman" w:hAnsi="Times New Roman"/>
                <w:b/>
              </w:rPr>
              <w:t>Przetwarzanie danych osobowych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_Toc56768974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75">
            <w:r>
              <w:rPr>
                <w:webHidden/>
                <w:rStyle w:val="Czeindeksu"/>
                <w:rFonts w:ascii="Times New Roman" w:hAnsi="Times New Roman"/>
                <w:b/>
              </w:rPr>
              <w:t>XII. Zadania podmiotów realizujących Program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_Toc56768975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Calibri" w:hAnsi="Calibri" w:eastAsia="" w:cs="" w:asciiTheme="minorHAnsi" w:cstheme="minorBidi" w:eastAsiaTheme="minorEastAsia" w:hAnsiTheme="minorHAnsi"/>
              <w:lang w:eastAsia="pl-PL"/>
            </w:rPr>
          </w:pPr>
          <w:hyperlink w:anchor="_Toc56768976">
            <w:r>
              <w:rPr>
                <w:webHidden/>
                <w:rStyle w:val="Czeindeksu"/>
                <w:rFonts w:ascii="Times New Roman" w:hAnsi="Times New Roman"/>
                <w:b/>
              </w:rPr>
              <w:t>XIII. Monitoring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_Toc56768976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right" w:pos="9062" w:leader="dot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>
            <w:fldChar w:fldCharType="end"/>
          </w:r>
        </w:p>
        <w:p>
          <w:pPr>
            <w:pStyle w:val="Spistreci1"/>
            <w:tabs>
              <w:tab w:val="right" w:pos="9062" w:leader="dot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</w:p>
        <w:p>
          <w:pPr>
            <w:pStyle w:val="Normal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</w:p>
      </w:sdtContent>
    </w:sdt>
    <w:p>
      <w:pPr>
        <w:pStyle w:val="TOCHead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val="x-none" w:eastAsia="x-none"/>
        </w:rPr>
      </w:r>
    </w:p>
    <w:p>
      <w:pPr>
        <w:pStyle w:val="Normal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val="x-none" w:eastAsia="x-none"/>
        </w:rPr>
      </w:r>
    </w:p>
    <w:p>
      <w:pPr>
        <w:pStyle w:val="Normal"/>
        <w:tabs>
          <w:tab w:val="left" w:pos="1860" w:leader="none"/>
          <w:tab w:val="left" w:pos="702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Toc56768962"/>
      <w:bookmarkStart w:id="2" w:name="_Toc14868071"/>
      <w:bookmarkStart w:id="3" w:name="_Toc14779249"/>
      <w:bookmarkStart w:id="4" w:name="_Toc14163151"/>
      <w:bookmarkStart w:id="5" w:name="_Toc14098668"/>
      <w:bookmarkStart w:id="6" w:name="_Toc13231224"/>
      <w:bookmarkStart w:id="7" w:name="_Toc11157005"/>
      <w:bookmarkStart w:id="8" w:name="_Toc11156359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cs="Times New Roman" w:ascii="Times New Roman" w:hAnsi="Times New Roman"/>
          <w:b/>
          <w:sz w:val="28"/>
          <w:szCs w:val="28"/>
        </w:rPr>
        <w:t>Wstęp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„Asystent osobisty osoby niepełnosprawnej” – edycja 2021, zwany dalej „Programem”, ma na celu zapewnienie dostępności do usługi </w:t>
      </w:r>
      <w:r>
        <w:rPr>
          <w:rFonts w:ascii="Times New Roman" w:hAnsi="Times New Roman"/>
          <w:color w:val="000000" w:themeColor="text1"/>
          <w:sz w:val="24"/>
          <w:szCs w:val="24"/>
        </w:rPr>
        <w:t>asystenta tj. wsparcia w wykonywaniu codziennych czynności</w:t>
      </w:r>
      <w:r>
        <w:rPr>
          <w:rFonts w:ascii="Times New Roman" w:hAnsi="Times New Roman"/>
          <w:sz w:val="24"/>
          <w:szCs w:val="24"/>
        </w:rPr>
        <w:t xml:space="preserve"> oraz funkcjonowaniu w życiu społecznym osób niepełnosprawnych. Usługa asystenta jest formą wsparcia finansowaną wcześniej w ramach poprzedniej edycji tego Programu (tj. 2019-2020) oraz Programu „Asystent osobisty osoby z niepełnosprawnościami” – edycja 2020-2021.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„Asystent osobisty osoby z niepełnosprawnościami” – edycja 2020-2021 jest realizowany w trybie otwartego konkursu ofert przez organizacje pozarządowe, o których mowa w art. 3 ust. 2 oraz podmioty, o których mowa w art. 3 ust. 3 pkt 1 ustawy z dnia 24 kwietnia 2003 r. o działalności pożytku publicznego i o wolontariacie (Dz. U. z 2020 r. poz. 1057).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 potrzeb;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umożliwienia zaangażowania osób niepełnosprawnych w wydarzenia społeczne, kulturalne, rozrywkowe lub sportowe itp.; 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dofinansowania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terytorialnego </w:t>
      </w:r>
      <w:r>
        <w:rPr>
          <w:rFonts w:ascii="Times New Roman" w:hAnsi="Times New Roman"/>
          <w:color w:val="000000" w:themeColor="text1"/>
          <w:sz w:val="24"/>
          <w:szCs w:val="24"/>
        </w:rPr>
        <w:t>dotyczącego realizacji zadań mających na celu wsparcie społeczne osób niepełnosprawnych.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Należy wskazać, iż wiele osób niepełnosprawnych nadal nie ma możliwości skorzystania </w:t>
        <w:br/>
        <w:t>z ww. usługi. Jednym z celów Programu jest objęcie zasięgiem jak największej liczby jednostek samorządu terytorialnego, w których usługa asystenta osobistego osoby niepełnosprawnej jeszcze nie jest realizowana.</w:t>
      </w:r>
      <w:r>
        <w:rPr>
          <w:rFonts w:ascii="Times New Roman" w:hAnsi="Times New Roman"/>
        </w:rPr>
        <w:t xml:space="preserve">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9" w:name="_Toc56768963"/>
      <w:bookmarkStart w:id="10" w:name="_Toc14868072"/>
      <w:bookmarkStart w:id="11" w:name="_Toc14779250"/>
      <w:bookmarkStart w:id="12" w:name="_Toc14163152"/>
      <w:bookmarkStart w:id="13" w:name="_Toc14098669"/>
      <w:bookmarkStart w:id="14" w:name="_Toc13231225"/>
      <w:bookmarkStart w:id="15" w:name="_Toc11157006"/>
      <w:bookmarkStart w:id="16" w:name="_Toc11156360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cs="Times New Roman" w:ascii="Times New Roman" w:hAnsi="Times New Roman"/>
          <w:b/>
          <w:sz w:val="28"/>
          <w:szCs w:val="28"/>
        </w:rPr>
        <w:t>I. Podstawa prawna Programu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 prawną Programu jest art. 7 ust. 5 ustawy z dnia 23 października 2018 r. o Funduszu Solidarnościowym (Dz. U. z 2020 r. poz. 1787).</w:t>
      </w:r>
    </w:p>
    <w:p>
      <w:pPr>
        <w:pStyle w:val="Nagwek1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bookmarkStart w:id="17" w:name="_Toc56768964"/>
      <w:bookmarkStart w:id="18" w:name="_Toc14868073"/>
      <w:bookmarkStart w:id="19" w:name="_Toc14779251"/>
      <w:bookmarkStart w:id="20" w:name="_Toc14163153"/>
      <w:bookmarkStart w:id="21" w:name="_Toc14098670"/>
      <w:bookmarkStart w:id="22" w:name="_Toc13231226"/>
      <w:bookmarkStart w:id="23" w:name="_Toc11157007"/>
      <w:bookmarkStart w:id="24" w:name="_Toc11156361"/>
      <w:bookmarkStart w:id="25" w:name="_Toc462299082"/>
      <w:r>
        <w:rPr>
          <w:rFonts w:cs="Times New Roman" w:ascii="Times New Roman" w:hAnsi="Times New Roman"/>
          <w:b/>
          <w:sz w:val="28"/>
          <w:szCs w:val="28"/>
        </w:rPr>
        <w:t xml:space="preserve">II. </w:t>
      </w:r>
      <w:bookmarkEnd w:id="25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cs="Times New Roman" w:ascii="Times New Roman" w:hAnsi="Times New Roman"/>
          <w:b/>
          <w:sz w:val="28"/>
          <w:szCs w:val="28"/>
        </w:rPr>
        <w:t>Diagnoza sytuacji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>
        <w:rPr>
          <w:rFonts w:ascii="Times New Roman" w:hAnsi="Times New Roman"/>
          <w:sz w:val="24"/>
          <w:szCs w:val="24"/>
        </w:rPr>
        <w:t xml:space="preserve">dzieciom do 16 roku życia </w:t>
      </w:r>
      <w:r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>
        <w:rPr>
          <w:rStyle w:val="Zakotwiczenieprzypisudolnego"/>
          <w:rFonts w:ascii="Times New Roman" w:hAnsi="Times New Roman"/>
          <w:color w:val="000000" w:themeColor="text1"/>
          <w:sz w:val="24"/>
          <w:szCs w:val="24"/>
        </w:rPr>
        <w:footnoteReference w:id="2"/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Usługi asystenta wpisują się w jeden z głównych celów Funduszu, tj. wsparcie społeczne osób niepełnosprawnych.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Celem rozpowszechnienia usług asystenta jest zwiększenie szans osób niepełnoprawnych na  prowadzenie bardziej samodzielnego i aktywnego życia. Tak więc nadrzędnym celem usług asystenta powinno być dążenie do poprawy funkcjonowania osoby niepełnosprawnej w jej środowisku.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asystenta jest powszechną formą wsparcia osób niepełnosprawnych, w takich krajach jak: Szwecja, Wielka Brytania, Austria, Dania, Francja, Hiszpania.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Polsce zawód asystenta osoby niepełnosprawnej został wpisany do systemu kształcenia zawodowego już w 2001 r. </w:t>
      </w:r>
      <w:r>
        <w:rPr>
          <w:rFonts w:eastAsia="Calibri" w:ascii="Times New Roman" w:hAnsi="Times New Roman" w:eastAsiaTheme="minorHAnsi"/>
          <w:bCs/>
          <w:sz w:val="24"/>
          <w:szCs w:val="24"/>
        </w:rPr>
        <w:t>W treści rozporządzenia Ministra Pracy i Polityki Społecznej z dnia 7 sierpnia 2014 r. w sprawie klasyfikacji zawodów i specjalności na potrzeby rynku pracy oraz zakresu jej stosowania (Dz. U. z 2018 r. poz. 227) został wymieniony pod symbolem 341201 w ramach grupy: Pracownicy wsparcia rodziny, pomocy społecznej i pracy socjalnej (symbol 3412). Ponadto stanowisko asystenta osoby niepełnosprawnej jest jednym ze stanowisk pomocniczych i obsługi znajdujących się w załączniku nr 3 do rozporządzenia Rady Ministrów z dnia 15 maja 2018 r. w sprawie wynagradzania pracowników samorządowych (Dz. U. poz. 936, z późn. zm.).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eastAsiaTheme="minorHAnsi"/>
          <w:bCs/>
          <w:sz w:val="24"/>
          <w:szCs w:val="24"/>
        </w:rPr>
      </w:pPr>
      <w:r>
        <w:rPr>
          <w:rFonts w:eastAsia="Calibri" w:eastAsiaTheme="minorHAnsi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Dane liczbowe: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>
        <w:rPr>
          <w:rStyle w:val="Zakotwiczenieprzypisudolnego"/>
          <w:rFonts w:ascii="Times New Roman" w:hAnsi="Times New Roman"/>
          <w:color w:val="000000" w:themeColor="text1"/>
          <w:sz w:val="24"/>
          <w:szCs w:val="24"/>
        </w:rPr>
        <w:footnoteReference w:id="3"/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>
      <w:pPr>
        <w:pStyle w:val="Normal"/>
        <w:tabs>
          <w:tab w:val="left" w:pos="993" w:leader="none"/>
        </w:tabs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91 839;</w:t>
      </w:r>
    </w:p>
    <w:p>
      <w:pPr>
        <w:pStyle w:val="Normal"/>
        <w:tabs>
          <w:tab w:val="left" w:pos="851" w:leader="none"/>
        </w:tabs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</w:t>
        <w:tab/>
        <w:t>osób zaliczonych do znacznego lub umiarkowanego stopnia niepełnosprawności zgodnie z prawomocnym orzeczeniem lub wyrokiem sądu, z uwzględnieniem stopnia niepełnosprawności osób pomiędzy 16 a 18 rokiem życia wynosi łącznie 64 937;</w:t>
      </w:r>
    </w:p>
    <w:p>
      <w:pPr>
        <w:pStyle w:val="Normal"/>
        <w:tabs>
          <w:tab w:val="left" w:pos="567" w:leader="none"/>
        </w:tabs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</w:t>
        <w:tab/>
        <w:t>osób zaliczonych do znacznego stopnia niepełnosprawności, zgodnie z prawomocnym orzeczeniem lub wyrokiem sądu, z uwzględnieniem stopnia niepełnosprawności osób po 18 roku życia wynosi 806 604;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4)</w:t>
        <w:tab/>
        <w:t>osób zaliczonych do umiarkowanego stopnia niepełnosprawności, zgodnie z prawomocnym orzeczeniem lub wyrokiem sądu, z uwzględnieniem stopnia niepełnosprawności osób po 18 roku życia wynosi 1 312 155.</w:t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26" w:name="_Toc56768965"/>
      <w:bookmarkStart w:id="27" w:name="_Toc14868074"/>
      <w:bookmarkStart w:id="28" w:name="_Toc14779252"/>
      <w:bookmarkStart w:id="29" w:name="_Toc14163154"/>
      <w:bookmarkStart w:id="30" w:name="_Toc14098671"/>
      <w:bookmarkStart w:id="31" w:name="_Toc13231227"/>
      <w:bookmarkStart w:id="32" w:name="_Toc11157008"/>
      <w:bookmarkStart w:id="33" w:name="_Toc11156362"/>
      <w:bookmarkStart w:id="34" w:name="_Toc462299083"/>
      <w:r>
        <w:rPr>
          <w:rFonts w:cs="Times New Roman" w:ascii="Times New Roman" w:hAnsi="Times New Roman"/>
          <w:b/>
          <w:sz w:val="28"/>
          <w:szCs w:val="28"/>
        </w:rPr>
        <w:t xml:space="preserve">III. </w:t>
      </w:r>
      <w:bookmarkEnd w:id="34"/>
      <w:r>
        <w:rPr>
          <w:rFonts w:cs="Times New Roman" w:ascii="Times New Roman" w:hAnsi="Times New Roman"/>
          <w:b/>
          <w:sz w:val="28"/>
          <w:szCs w:val="28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>
        <w:rPr>
          <w:rFonts w:ascii="Times New Roman" w:hAnsi="Times New Roman"/>
          <w:sz w:val="24"/>
          <w:szCs w:val="24"/>
        </w:rPr>
        <w:t>dla: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720" w:right="-1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dzieci do 16 roku życia </w:t>
      </w:r>
      <w:r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>
      <w:pPr>
        <w:pStyle w:val="Normal"/>
        <w:numPr>
          <w:ilvl w:val="0"/>
          <w:numId w:val="17"/>
        </w:numPr>
        <w:spacing w:lineRule="auto" w:line="360" w:before="0" w:after="0"/>
        <w:ind w:left="720" w:right="-1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wymienionego,</w:t>
      </w:r>
    </w:p>
    <w:p>
      <w:pPr>
        <w:pStyle w:val="Normal"/>
        <w:spacing w:lineRule="auto" w:line="360" w:before="0" w:after="0"/>
        <w:ind w:left="567" w:right="-1" w:hanging="283"/>
        <w:contextualSpacing/>
        <w:jc w:val="both"/>
        <w:rPr>
          <w:rFonts w:ascii="Times New Roman" w:hAnsi="Times New Roman" w:eastAsia="Times New Roman"/>
          <w:color w:val="C00000"/>
          <w:spacing w:val="6"/>
          <w:w w:val="105"/>
          <w:sz w:val="24"/>
          <w:szCs w:val="24"/>
        </w:rPr>
      </w:pPr>
      <w:r>
        <w:rPr>
          <w:rFonts w:eastAsia="Symbol" w:cs="Symbol" w:ascii="Symbol" w:hAnsi="Symbol"/>
          <w:spacing w:val="6"/>
          <w:w w:val="105"/>
          <w:sz w:val="24"/>
          <w:szCs w:val="24"/>
        </w:rPr>
        <w:t></w:t>
      </w:r>
      <w:r>
        <w:rPr>
          <w:rFonts w:eastAsia="Times New Roman" w:ascii="Times New Roman" w:hAnsi="Times New Roman"/>
          <w:spacing w:val="6"/>
          <w:w w:val="105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>
        <w:rPr>
          <w:rFonts w:eastAsia="Times New Roman" w:ascii="Times New Roman" w:hAnsi="Times New Roman"/>
          <w:color w:val="000000" w:themeColor="text1"/>
          <w:spacing w:val="6"/>
          <w:w w:val="105"/>
          <w:sz w:val="24"/>
          <w:szCs w:val="24"/>
        </w:rPr>
        <w:t>niż 1500 osób.</w:t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>
        <w:rPr>
          <w:rStyle w:val="Zakotwiczenieprzypisudolnego"/>
          <w:rFonts w:ascii="Times New Roman" w:hAnsi="Times New Roman"/>
          <w:sz w:val="24"/>
          <w:szCs w:val="24"/>
          <w:lang w:eastAsia="pl-PL"/>
        </w:rPr>
        <w:footnoteReference w:id="4"/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 w tym osoby z niepełnosprawnościami sprzężonymi i trudnościami związanymi z mobilnością i komunikacją.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color w:val="000000" w:themeColor="text1"/>
          <w:spacing w:val="6"/>
          <w:w w:val="105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pacing w:val="6"/>
          <w:w w:val="105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możliwość skorzystania przez osoby niepełnosprawne z pomocy asystenta przy wykonywaniu codziennych czynności i funkcjonowaniu </w:t>
      </w:r>
      <w:r>
        <w:rPr>
          <w:rFonts w:ascii="Times New Roman" w:hAnsi="Times New Roman"/>
          <w:sz w:val="24"/>
          <w:szCs w:val="24"/>
        </w:rPr>
        <w:t>w życiu społecznym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ograniczenie skutków niepełnosprawności oraz stymulowanie osoby niepełnosprawnej do podejmowania aktywności i umożliwienie realizowania prawa do niezależnego życia;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Calibri" w:ascii="Times New Roman" w:hAnsi="Times New Roman" w:eastAsiaTheme="minorHAnsi"/>
          <w:bCs/>
          <w:sz w:val="24"/>
          <w:szCs w:val="24"/>
        </w:rPr>
        <w:t xml:space="preserve">przeciwdziałanie dyskryminacji ze względu na niepełnosprawność oraz wykluczeniu społecznemu osób niepełnosprawnych, </w:t>
      </w:r>
      <w:r>
        <w:rPr>
          <w:rFonts w:ascii="Times New Roman" w:hAnsi="Times New Roman"/>
          <w:sz w:val="24"/>
          <w:szCs w:val="24"/>
        </w:rPr>
        <w:t xml:space="preserve">umożliwienie osobom niepełnosprawnym uczestnictwa w życiu lokalnej społeczności np. poprzez udział w wydarzeniach </w:t>
      </w:r>
      <w:r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 też sportowych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zwiększenie wsparcia świadczonego przez asystentów ucznia ze specjalnymi potrzebami edukacyjnymi (ASPE) w zakresie wsparcia niepełnosprawnych uczniów, także w innych wymiarach życia i funkcjonowania społecznego. </w:t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35" w:name="_Toc462299084"/>
      <w:bookmarkStart w:id="36" w:name="_Toc56768966"/>
      <w:bookmarkStart w:id="37" w:name="_Toc14868075"/>
      <w:bookmarkStart w:id="38" w:name="_Toc14779253"/>
      <w:bookmarkStart w:id="39" w:name="_Toc14163155"/>
      <w:bookmarkStart w:id="40" w:name="_Toc14098672"/>
      <w:bookmarkStart w:id="41" w:name="_Toc13231228"/>
      <w:bookmarkStart w:id="42" w:name="_Toc11157009"/>
      <w:bookmarkStart w:id="43" w:name="_Toc11156363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Fonts w:cs="Times New Roman" w:ascii="Times New Roman" w:hAnsi="Times New Roman"/>
          <w:b/>
          <w:sz w:val="28"/>
          <w:szCs w:val="28"/>
        </w:rPr>
        <w:t>IV. Adresaci Programu</w:t>
      </w:r>
    </w:p>
    <w:p>
      <w:pPr>
        <w:pStyle w:val="Nagwek1"/>
        <w:spacing w:lineRule="auto" w:line="360" w:before="0"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6768967"/>
      <w:bookmarkStart w:id="45" w:name="_Toc54274920"/>
      <w:bookmarkStart w:id="46" w:name="_Toc54121584"/>
      <w:bookmarkEnd w:id="44"/>
      <w:bookmarkEnd w:id="45"/>
      <w:bookmarkEnd w:id="46"/>
      <w:r>
        <w:rPr>
          <w:rFonts w:cs="Times New Roman" w:ascii="Times New Roman" w:hAnsi="Times New Roman"/>
          <w:color w:val="000000" w:themeColor="text1"/>
          <w:sz w:val="24"/>
          <w:szCs w:val="24"/>
        </w:rPr>
        <w:t>Program adresowany jest do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do 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społecznym, zwanych dalej „uczestnikami Programu”.</w:t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47" w:name="_Toc462299084"/>
      <w:bookmarkStart w:id="48" w:name="_Toc56768968"/>
      <w:bookmarkStart w:id="49" w:name="_Toc14868076"/>
      <w:bookmarkStart w:id="50" w:name="_Toc14779254"/>
      <w:bookmarkStart w:id="51" w:name="_Toc14163156"/>
      <w:bookmarkStart w:id="52" w:name="_Toc14098673"/>
      <w:bookmarkStart w:id="53" w:name="_Toc13231229"/>
      <w:bookmarkStart w:id="54" w:name="_Toc11157010"/>
      <w:bookmarkStart w:id="55" w:name="_Toc11156364"/>
      <w:r>
        <w:rPr>
          <w:rFonts w:cs="Times New Roman" w:ascii="Times New Roman" w:hAnsi="Times New Roman"/>
          <w:b/>
          <w:sz w:val="28"/>
          <w:szCs w:val="28"/>
        </w:rPr>
        <w:t xml:space="preserve">V. </w:t>
      </w:r>
      <w:bookmarkStart w:id="56" w:name="_Toc14163157"/>
      <w:bookmarkStart w:id="57" w:name="_Toc14098674"/>
      <w:bookmarkStart w:id="58" w:name="_Toc13231230"/>
      <w:bookmarkStart w:id="59" w:name="_Toc11157011"/>
      <w:bookmarkStart w:id="60" w:name="_Toc11156365"/>
      <w:bookmarkStart w:id="61" w:name="_Toc462299085"/>
      <w:bookmarkEnd w:id="47"/>
      <w:bookmarkEnd w:id="51"/>
      <w:bookmarkEnd w:id="52"/>
      <w:bookmarkEnd w:id="53"/>
      <w:bookmarkEnd w:id="54"/>
      <w:bookmarkEnd w:id="55"/>
      <w:r>
        <w:rPr>
          <w:rFonts w:cs="Times New Roman" w:ascii="Times New Roman" w:hAnsi="Times New Roman"/>
          <w:b/>
          <w:sz w:val="28"/>
          <w:szCs w:val="28"/>
        </w:rPr>
        <w:t>Zakres podmiotowy i przedmiotowy P</w:t>
      </w:r>
      <w:bookmarkEnd w:id="60"/>
      <w:bookmarkEnd w:id="61"/>
      <w:r>
        <w:rPr>
          <w:rFonts w:cs="Times New Roman" w:ascii="Times New Roman" w:hAnsi="Times New Roman"/>
          <w:b/>
          <w:sz w:val="28"/>
          <w:szCs w:val="28"/>
        </w:rPr>
        <w:t>rogramu</w:t>
      </w:r>
      <w:bookmarkEnd w:id="48"/>
      <w:bookmarkEnd w:id="49"/>
      <w:bookmarkEnd w:id="50"/>
      <w:bookmarkEnd w:id="56"/>
      <w:bookmarkEnd w:id="57"/>
      <w:bookmarkEnd w:id="58"/>
      <w:bookmarkEnd w:id="59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Program zakłada wsparcie finansowe dla gmin/powiatów w zakresie świadczenia usług asystenta, która będzie dostosowana do potrzeb osoby niepełnosprawnej, mieszkającej na terenie danej gminy/powiatu.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Usługi asystenta mogą świadczyć:</w:t>
      </w:r>
    </w:p>
    <w:p>
      <w:pPr>
        <w:pStyle w:val="Normal"/>
        <w:tabs>
          <w:tab w:val="left" w:pos="1560" w:leader="none"/>
        </w:tabs>
        <w:spacing w:lineRule="auto" w:line="360" w:before="0"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  <w:tab/>
      </w:r>
      <w:r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, opiekun osoby starszej, opiekun medyczny,</w:t>
      </w:r>
    </w:p>
    <w:p>
      <w:pPr>
        <w:pStyle w:val="Normal"/>
        <w:tabs>
          <w:tab w:val="left" w:pos="567" w:leader="none"/>
          <w:tab w:val="left" w:pos="1560" w:leader="none"/>
        </w:tabs>
        <w:spacing w:lineRule="auto" w:line="360" w:before="0"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osoby posiadające co najmniej 6-miesięczne, udokumentowane doświadczenie </w:t>
        <w:br/>
        <w:t>w udzielaniu bezpośredniej pomocy osobom niepełnosprawnym np. doświadczenie zawodowe, udzielanie wsparcia osobom niepełnosprawnych w formie wolontariatu,</w:t>
      </w:r>
    </w:p>
    <w:p>
      <w:pPr>
        <w:pStyle w:val="Normal"/>
        <w:tabs>
          <w:tab w:val="left" w:pos="1560" w:leader="none"/>
        </w:tabs>
        <w:spacing w:lineRule="auto" w:line="360" w:before="0" w:after="0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osoby wskazane przez uczestnika Programu lub jego opiekuna prawnego.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gdy usługa asystenta będzie świadczona na rzecz dzieci niepełnosprawnych do 16 roku życia z orzeczeniem o niepełnosprawności łącznie z ww. wskazaniami, wymagane jest także zaświadczenie psychologa o braku przeciwskazań do wykonywania czynności przez asystenta.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Gmina/powiat przyznaje usługę asystenta na podstawie Karty zgłoszenia do Programu „Asystent osobisty osoby z niepełnosprawnej” – edycja 2021, której wzór stanowi załącznik nr 8 do niniejszego Programu.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załatwianiu spraw urzędowych;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organizacjami;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Annotationtext"/>
        <w:numPr>
          <w:ilvl w:val="0"/>
          <w:numId w:val="16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wykonywaniu czynności dnia codziennego – w tym przez dzieci z orzeczeniem o niepełnosprawności – także w zaprowadzaniu i przyprowadzaniu ich do lub z placówki oświatowej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</w:t>
        <w:br/>
        <w:t xml:space="preserve">o pomocy społecznej (Dz. U. z 2020 r. poz. 1876), usługi finansowane </w:t>
        <w:br/>
        <w:t xml:space="preserve">w ramach Funduszu Solidarnościowego lub usługi obejmujące analogiczne wsparcie, o którym mowa w ust. 7, finansowane z innych źródeł.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oczekiwania wynosi więcej niż 90 min. usługa nie będzie finansowana w ramach Programu.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 godzin usług asystenta na 1 dziecko niepełnosprawne z ww. wskazaniami,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Programu, </w:t>
      </w:r>
      <w:r>
        <w:rPr>
          <w:rFonts w:ascii="Times New Roman" w:hAnsi="Times New Roman"/>
          <w:sz w:val="24"/>
          <w:szCs w:val="24"/>
        </w:rPr>
        <w:t xml:space="preserve">w tym na 1 dziecko niepełnosprawne, </w:t>
      </w:r>
      <w:r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programów/projektów, tj. łączna liczba godzin usług asystenta dla wszystkich programów/projektów nie może wynosić więcej niż 60 godzin miesięcznie.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asystentów, o których mowa w ust. 3.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orzeczeniem o niepełnosprawności.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eastAsia="Arial Unicode MS" w:ascii="Times New Roman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>
        <w:rPr>
          <w:rFonts w:eastAsia="Arial Unicode MS" w:ascii="Times New Roman" w:hAnsi="Times New Roman"/>
          <w:bCs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ramach Programu gmina/powiat może otrzymać wsparcie finansowe do wysokości 100% kosztów realizacji usług asystenta, z zastrzeżeniem ust. 19.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przekroczeniu limitu godzin, o którym mowa w ust. 11-13, gmina/powiat może przyznać kolejne godziny usług asystenta w ramach środków własnych.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Gmina/powiat dokonuje rozliczenia usług asystenta na podstawie wypełnionej Karty realizacji usług asystenckich, której wzór stanowi załącznik nr 9 do niniejszego Programu.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>
      <w:pPr>
        <w:pStyle w:val="Stopka"/>
        <w:numPr>
          <w:ilvl w:val="0"/>
          <w:numId w:val="20"/>
        </w:numPr>
        <w:spacing w:lineRule="auto" w:line="36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>
      <w:pPr>
        <w:pStyle w:val="Normal"/>
        <w:numPr>
          <w:ilvl w:val="0"/>
          <w:numId w:val="2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>
      <w:pPr>
        <w:pStyle w:val="Spistreci3"/>
        <w:numPr>
          <w:ilvl w:val="0"/>
          <w:numId w:val="2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kupuje usługi opieki asystenta od podmiotów sektora prywatnego</w:t>
      </w:r>
      <w:r>
        <w:rPr>
          <w:rStyle w:val="Zakotwiczenieprzypisudolnego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bookmarkStart w:id="62" w:name="_Toc462299089"/>
      <w:bookmarkStart w:id="63" w:name="_Toc462299089"/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64" w:name="_Toc462299089"/>
      <w:bookmarkStart w:id="65" w:name="_Toc56768969"/>
      <w:bookmarkStart w:id="66" w:name="_Toc14868078"/>
      <w:bookmarkStart w:id="67" w:name="_Toc14779256"/>
      <w:bookmarkStart w:id="68" w:name="_Toc14163159"/>
      <w:bookmarkStart w:id="69" w:name="_Toc14098676"/>
      <w:bookmarkStart w:id="70" w:name="_Toc13231233"/>
      <w:bookmarkStart w:id="71" w:name="_Toc11157014"/>
      <w:bookmarkStart w:id="72" w:name="_Toc11156368"/>
      <w:r>
        <w:rPr>
          <w:rFonts w:cs="Times New Roman" w:ascii="Times New Roman" w:hAnsi="Times New Roman"/>
          <w:b/>
          <w:sz w:val="28"/>
          <w:szCs w:val="28"/>
        </w:rPr>
        <w:t xml:space="preserve">VI.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>
        <w:rPr>
          <w:rFonts w:cs="Times New Roman" w:ascii="Times New Roman" w:hAnsi="Times New Roman"/>
          <w:b/>
          <w:sz w:val="28"/>
          <w:szCs w:val="28"/>
        </w:rPr>
        <w:t>Kwalifikowalność kosztów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środków Programu będą pokrywane koszty związane bezpośrednio z realizacją usług asystenta.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Programu, jak i w ramach innych programów czy projektów.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Koszt świadczenia usług asystenta może dotyczyć wszystkich kosztów związanych </w:t>
        <w:br/>
        <w:t>z ich świadczeniem, w szczególności takich jak: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wynagrodzenie asystentów;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zakup środków ochrony osobistej, </w:t>
      </w:r>
      <w:r>
        <w:rPr>
          <w:rFonts w:ascii="Times New Roman" w:hAnsi="Times New Roman"/>
          <w:sz w:val="24"/>
          <w:szCs w:val="24"/>
        </w:rPr>
        <w:t>w wysokości nie większej niż 50 zł miesięcznie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zakup biletów komunikacji publicznej/prywatnej jednorazowych lub miesięcznych oraz koszt dojazdu własnym/innym środkiem transportu np. taksówką asystentów w związku z wyjazdami, które dotyczą realizacji usług wymienionych w treści Programu, w wysokości nie większej niż 200 zł miesięcznie;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zakup biletów wstępu na wydarzenia kulturalne, rozrywkowe, sportowe lub społeczne itp. dla asystenta towarzyszącego uczestnikowi Programu, w wysokości nie większej niż 100 zł miesięcznie;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koszt ubezpieczeń OC lub NNW asystentów związanych ze świadczeniem usługi asystenta, w </w:t>
      </w:r>
      <w:r>
        <w:rPr>
          <w:rFonts w:ascii="Times New Roman" w:hAnsi="Times New Roman"/>
          <w:sz w:val="24"/>
          <w:szCs w:val="24"/>
        </w:rPr>
        <w:t>wysokości nie większej niż 150 zł rocznie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będą kwalifikowane, jeśli: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będzie prowadzona ewidencja przebiegu pojazdu stanowiącego własność asystenta (załącznik nr 10 do Programu pn. Wzór ewidencji przebiegu pojazdu) lub ewidencja kosztów przejazdu innym środkiem transportu np. taksówką, zawierająca następujące informacje: dane asystenta, datę i cel podróży, do której należy dołączyć dowód </w:t>
      </w:r>
      <w:r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zakup środków ochrony osobistej oraz  dojazd własnym/innym środkiem transportu np. taksówką asystentów w związku z wyjazdami, które dotyczą realizacji usług wymienionych w treści Programu, zostaną zrealizowane w terminie do 30 dnia od daty odwołania ogłoszonego w dniu 20 marca 2020 r. stanu epidemii na obszarze Rzeczypospolitej Polskiej z powodu zakażeń wirusem SARS-CoV-2.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 xml:space="preserve"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2021 r. do czasu otrzymania środków finansowych, co nastąpi po podpisaniu umowy, gmina/powiat może realizować Program korzystając ze środków własnych.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567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ponoszonych przelewem lub obciążeniową kartą płatniczą − datę obciążenia rachunku bankowego podmiotu realizującego usługę asystenta, tj. datę księgowania operacji;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567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567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 wyjątkiem przypadku, gdy podatek ten może być odliczony od podatku należnego lub zwróconego.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finansowe Funduszu Solidarnościowego przyznane na realizację Programu, muszą być wykorzystane zgodnie z umową zawartą pomiędzy wojewodą a gminą/powiatem.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Gminy/powiaty, które uzyskały środki z Funduszu Solidarnościowego, są zobowiązane do ich rozliczenia w sposób i w terminach wskazanych w umowie zawartej z wojewodą, a także zwrotu niewykorzystanej części przyznanych środków z Funduszu Solidarnościowego w terminach określonych w umowie, zgodnie z ustawą z dnia 23 października 2018 r. o  Funduszu Solidarnościowym oraz ustawą z dnia 27 sierpnia 2009 r. o finansach publicznych </w:t>
      </w:r>
      <w:r>
        <w:rPr>
          <w:rFonts w:eastAsia="Arial Unicode MS" w:ascii="Times New Roman" w:hAnsi="Times New Roman"/>
          <w:sz w:val="24"/>
          <w:szCs w:val="24"/>
        </w:rPr>
        <w:t>(Dz. U. z 2019 r. poz. 869, z późn. zm.)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otrzymujący środki z Funduszu Solidarnościowego jest zobowiązany do ich rozliczenia, a także do zwrotu niewykorzystanej ich części, w sposób i terminach wskazanych w umowie zawartej z gminą/powiatem.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Kosztami niekwalifikowanymi zadania (w przypadku jednostek samorządu terytorialnego − wydatkami) są: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odsetki od zadłużenia;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kwoty i koszty pożyczki lub kredytu;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kary i grzywny;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wpłaty na Państwowy Fundusz Rehabilitacji Osób Niepełnosprawnych, zwany dalej „PFRON”;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podatek VAT, który może zostać odzyskany na podstawie przepisów ustawy </w:t>
        <w:br/>
        <w:t>z dnia 11 marca 2004 r. o podatku od towarów i usług (Dz. U. z 2020 r. poz. 106, z późn. zm.) oraz aktów wykonawczych do tej ustawy;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  <w:br/>
        <w:t>do których stosuje się przepisy ustawy z dnia 29 sierpnia 1997 r. − Ordynacja podatkowa (Dz. U. z 2020 r. poz. 1325, z późn. zm.);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567" w:hanging="283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usługi asystenta świadczone przez członków rodziny</w:t>
      </w:r>
      <w:r>
        <w:rPr>
          <w:rStyle w:val="Zakotwiczenieprzypisudolnego"/>
          <w:rFonts w:eastAsia="Times New Roman" w:ascii="Times New Roman" w:hAnsi="Times New Roman"/>
          <w:sz w:val="24"/>
          <w:szCs w:val="24"/>
          <w:lang w:eastAsia="pl-PL"/>
        </w:rPr>
        <w:footnoteReference w:id="8"/>
      </w:r>
      <w:r>
        <w:rPr>
          <w:rFonts w:eastAsia="Times New Roman" w:ascii="Times New Roman" w:hAnsi="Times New Roman"/>
          <w:sz w:val="24"/>
          <w:szCs w:val="24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, opiekunów prawnych lub osoby faktycznie zamieszkujące razem z uczestnikiem Programu.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73" w:name="_Toc56768970"/>
      <w:bookmarkStart w:id="74" w:name="_Toc14868079"/>
      <w:bookmarkStart w:id="75" w:name="_Toc14779257"/>
      <w:bookmarkStart w:id="76" w:name="_Toc14163160"/>
      <w:bookmarkStart w:id="77" w:name="_Toc14098677"/>
      <w:bookmarkStart w:id="78" w:name="_Toc13231234"/>
      <w:bookmarkStart w:id="79" w:name="_Toc11157015"/>
      <w:bookmarkStart w:id="80" w:name="_Toc462299090"/>
      <w:r>
        <w:rPr>
          <w:rFonts w:cs="Times New Roman" w:ascii="Times New Roman" w:hAnsi="Times New Roman"/>
          <w:b/>
          <w:sz w:val="28"/>
          <w:szCs w:val="28"/>
        </w:rPr>
        <w:t xml:space="preserve">VII. </w:t>
      </w:r>
      <w:bookmarkEnd w:id="80"/>
      <w:bookmarkEnd w:id="73"/>
      <w:bookmarkEnd w:id="74"/>
      <w:bookmarkEnd w:id="75"/>
      <w:bookmarkEnd w:id="76"/>
      <w:bookmarkEnd w:id="77"/>
      <w:bookmarkEnd w:id="78"/>
      <w:bookmarkEnd w:id="79"/>
      <w:r>
        <w:rPr>
          <w:rFonts w:cs="Times New Roman" w:ascii="Times New Roman" w:hAnsi="Times New Roman"/>
          <w:b/>
          <w:sz w:val="28"/>
          <w:szCs w:val="28"/>
        </w:rPr>
        <w:t>Finansowanie Programu oraz warunki przyznawania gminom/powiatom środków z Funduszu Solidarnościowego przeznaczonych na realizację Programu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Źródłem finansowania Programu edycja 2021 są środki ujęte w planie finansowym Funduszu Solidarnościowego na 2021 r. w kwocie 80 mln zł. Dysponentem środków Funduszu Solidarnościowego jest minister właściwy do spraw zabezpieczenia społecznego, zwany dalej „Ministrem”.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Nabór wniosków gmin/powiatów na środki finansowe z Programu „Asystent osobisty osoby niepełnosprawnej” – edycja 2021 jest dokonywany przez wojewodów.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 dnia opublikowania przez Ministra zatwierdzonej listy rekomendowanych wniosków.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81" w:name="_Toc56768971"/>
      <w:bookmarkStart w:id="82" w:name="_Toc14868080"/>
      <w:bookmarkStart w:id="83" w:name="_Toc14779258"/>
      <w:bookmarkStart w:id="84" w:name="_Toc14163161"/>
      <w:bookmarkStart w:id="85" w:name="_Toc14098678"/>
      <w:bookmarkStart w:id="86" w:name="_Toc13231235"/>
      <w:bookmarkStart w:id="87" w:name="_Toc11157016"/>
      <w:bookmarkStart w:id="88" w:name="_Toc11156369"/>
      <w:bookmarkStart w:id="89" w:name="_Toc462299091"/>
      <w:r>
        <w:rPr>
          <w:rFonts w:cs="Times New Roman" w:ascii="Times New Roman" w:hAnsi="Times New Roman"/>
          <w:b/>
          <w:sz w:val="28"/>
          <w:szCs w:val="28"/>
        </w:rPr>
        <w:t xml:space="preserve">VIII. </w:t>
      </w:r>
      <w:bookmarkEnd w:id="89"/>
      <w:bookmarkEnd w:id="81"/>
      <w:bookmarkEnd w:id="82"/>
      <w:bookmarkEnd w:id="83"/>
      <w:bookmarkEnd w:id="84"/>
      <w:bookmarkEnd w:id="85"/>
      <w:bookmarkEnd w:id="86"/>
      <w:bookmarkEnd w:id="87"/>
      <w:bookmarkEnd w:id="88"/>
      <w:r>
        <w:rPr>
          <w:rFonts w:cs="Times New Roman" w:ascii="Times New Roman" w:hAnsi="Times New Roman"/>
          <w:b/>
          <w:sz w:val="28"/>
          <w:szCs w:val="28"/>
        </w:rPr>
        <w:t>Terminy i warunki realizacji Programu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będzie realizowany od dnia 1 stycznia 2021 r. do dnia 31 grudnia 2021 r.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asystenta, lub złożyć osobiście we właściwym urzędzie wojewódzkim.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elektronicznej należy przesłać za pośrednictwem platformy ePUAP w terminie wyznaczonym do złożenia wniosku w postaci papierowej. Wniosek musi być opatrzony podpisem potwierdzonym profilem zaufanym ePUAP albo kwalifikowanym podpisem elektronicznym.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Minister weryfikuje listę rekomendowanych wniosków przesłanych przez wojewodów i przyznaje środki Funduszu Solidarnościowego do wyczerpania limitu środków przeznaczonych na realizację Programu.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Unicode MS" w:ascii="Times New Roman" w:hAnsi="Times New Roman"/>
          <w:color w:val="000000"/>
          <w:sz w:val="24"/>
        </w:rPr>
        <w:t>Do środków z Funduszu Solidarnościowego przekazanych na realizację Programu stosuje się odpowiednio art. 60-67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Umowa, o której mowa w ust. 13, powinna zawierać szczegółowe postanowienia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zrealizowaną usługę asystenta.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bookmarkStart w:id="90" w:name="_Toc462299092"/>
      <w:bookmarkStart w:id="91" w:name="_Toc462299092"/>
      <w:r>
        <w:rPr>
          <w:rFonts w:ascii="Times New Roman" w:hAnsi="Times New Roman"/>
          <w:sz w:val="24"/>
          <w:szCs w:val="24"/>
        </w:rPr>
      </w:r>
    </w:p>
    <w:p>
      <w:pPr>
        <w:pStyle w:val="Nagwek1"/>
        <w:rPr>
          <w:rStyle w:val="Nagwek1Znak"/>
          <w:rFonts w:ascii="Times New Roman" w:hAnsi="Times New Roman" w:cs="Times New Roman"/>
          <w:b/>
          <w:b/>
          <w:sz w:val="28"/>
          <w:szCs w:val="28"/>
        </w:rPr>
      </w:pPr>
      <w:bookmarkStart w:id="92" w:name="_Toc462299092"/>
      <w:bookmarkStart w:id="93" w:name="_Toc56768972"/>
      <w:bookmarkStart w:id="94" w:name="_Toc14868081"/>
      <w:bookmarkStart w:id="95" w:name="_Toc14779259"/>
      <w:bookmarkStart w:id="96" w:name="_Toc14163162"/>
      <w:bookmarkStart w:id="97" w:name="_Toc14098679"/>
      <w:bookmarkStart w:id="98" w:name="_Toc13231236"/>
      <w:bookmarkStart w:id="99" w:name="_Toc11157017"/>
      <w:bookmarkStart w:id="100" w:name="_Toc11156370"/>
      <w:r>
        <w:rPr>
          <w:rStyle w:val="Nagwek1Znak"/>
          <w:rFonts w:cs="Times New Roman" w:ascii="Times New Roman" w:hAnsi="Times New Roman"/>
          <w:b/>
          <w:sz w:val="28"/>
          <w:szCs w:val="28"/>
        </w:rPr>
        <w:t xml:space="preserve">IX. 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rPr>
          <w:rStyle w:val="Nagwek1Znak"/>
          <w:rFonts w:cs="Times New Roman" w:ascii="Times New Roman" w:hAnsi="Times New Roman"/>
          <w:b/>
          <w:sz w:val="28"/>
          <w:szCs w:val="28"/>
        </w:rPr>
        <w:t>Tryb przystąpienia do Programu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Wojewoda po weryfikacji wniosków złożonych przez gminy/powiaty sporządza listę rekomendowanych wniosków i przekazuje ją Ministrowi do zatwierdzenia.</w:t>
      </w:r>
    </w:p>
    <w:p>
      <w:pPr>
        <w:pStyle w:val="ListParagraph"/>
        <w:spacing w:lineRule="auto" w:line="36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rPr>
          <w:rFonts w:ascii="Times New Roman" w:hAnsi="Times New Roman" w:cs="Times New Roman"/>
          <w:b/>
          <w:b/>
          <w:sz w:val="28"/>
          <w:szCs w:val="28"/>
        </w:rPr>
      </w:pPr>
      <w:bookmarkStart w:id="101" w:name="_Toc14868082"/>
      <w:bookmarkStart w:id="102" w:name="_Toc14779260"/>
      <w:bookmarkStart w:id="103" w:name="_Toc14163163"/>
      <w:bookmarkStart w:id="104" w:name="_Toc14098680"/>
      <w:bookmarkStart w:id="105" w:name="_Toc13231237"/>
      <w:bookmarkStart w:id="106" w:name="_Toc11157018"/>
      <w:bookmarkStart w:id="107" w:name="_Toc11156371"/>
      <w:bookmarkStart w:id="108" w:name="_Toc56768973"/>
      <w:bookmarkStart w:id="109" w:name="_Toc462299093"/>
      <w:r>
        <w:rPr>
          <w:rFonts w:cs="Times New Roman" w:ascii="Times New Roman" w:hAnsi="Times New Roman"/>
          <w:b/>
          <w:sz w:val="28"/>
          <w:szCs w:val="28"/>
        </w:rPr>
        <w:t xml:space="preserve">X. </w:t>
      </w:r>
      <w:bookmarkEnd w:id="109"/>
      <w:r>
        <w:rPr>
          <w:rFonts w:cs="Times New Roman" w:ascii="Times New Roman" w:hAnsi="Times New Roman"/>
          <w:b/>
          <w:sz w:val="28"/>
          <w:szCs w:val="28"/>
        </w:rPr>
        <w:t>Kryteria naboru wniosków przez Wojewodę</w:t>
      </w:r>
      <w:bookmarkEnd w:id="108"/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Każdy wniosek złożony w konkursie p.n. „Asystent osobisty osoby niepełnosprawnej” − edycja 2021 musi spełnić nw. kryteria formalne.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Kryteria oceny formalnej (0-1 pkt):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kompletnie i prawidłowo wypełniony wniosek zgodnie z obowiązującym wzorem, przesłany w terminie i na właściwy adres,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wniosek zawiera kalkulację przewidywanych kosztów realizacji zadania, skonstruowaną w jasny i przejrzysty sposób oraz został złożony przez uprawniony podmiot.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Wniosek, który nie spełnia wymogów formalnych nie będzie oceniany pod względem merytorycznym. 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 może zostać: </w:t>
      </w:r>
    </w:p>
    <w:p>
      <w:pPr>
        <w:pStyle w:val="Normal"/>
        <w:numPr>
          <w:ilvl w:val="0"/>
          <w:numId w:val="21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>
      <w:pPr>
        <w:pStyle w:val="Normal"/>
        <w:numPr>
          <w:ilvl w:val="0"/>
          <w:numId w:val="21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odrzucony – w przypadku niespełnienia któregokolwiek z kryteriów formalnych lub ich nieuzupełnienia w wymaganym terminie.</w:t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>
      <w:pPr>
        <w:pStyle w:val="ListParagraph"/>
        <w:numPr>
          <w:ilvl w:val="0"/>
          <w:numId w:val="24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>
      <w:pPr>
        <w:pStyle w:val="Normal"/>
        <w:tabs>
          <w:tab w:val="left" w:pos="284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Kryteria merytoryczne: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Kryteria oceny, o których mowa w art. 13 ust. 6 ustawy z dnia 23 października 2018 r. o Funduszu Solidarnościowym, tj.: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 ocenie wniosku bierze się pod uwagę następujące kryteria:</w:t>
      </w:r>
    </w:p>
    <w:p>
      <w:pPr>
        <w:pStyle w:val="ListParagraph"/>
        <w:numPr>
          <w:ilvl w:val="0"/>
          <w:numId w:val="23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adekwatność wniosku  w odniesieniu do celów programu,</w:t>
      </w:r>
    </w:p>
    <w:p>
      <w:pPr>
        <w:pStyle w:val="ListParagraph"/>
        <w:numPr>
          <w:ilvl w:val="0"/>
          <w:numId w:val="23"/>
        </w:numPr>
        <w:tabs>
          <w:tab w:val="left" w:pos="284" w:leader="none"/>
        </w:tabs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potencjalny wpływ zadań na beneficjentów, w tym także trwałość rezultatów zadań zawartych we wniosku,</w:t>
      </w:r>
    </w:p>
    <w:p>
      <w:pPr>
        <w:pStyle w:val="ListParagraph"/>
        <w:numPr>
          <w:ilvl w:val="0"/>
          <w:numId w:val="23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zasadność wysokości wnioskowanych środków w stosunku do celu, rezultatów i zakresu zadań, które obejmuje wniosek,</w:t>
      </w:r>
    </w:p>
    <w:p>
      <w:pPr>
        <w:pStyle w:val="ListParagraph"/>
        <w:numPr>
          <w:ilvl w:val="0"/>
          <w:numId w:val="23"/>
        </w:numPr>
        <w:spacing w:lineRule="auto" w:line="360" w:before="0" w:after="0"/>
        <w:ind w:left="284" w:hanging="28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6.1.1. Łączna liczba punktów za spełnienie kryteriów, o których mowa w ust. 6.1. wynosi </w:t>
      </w:r>
      <w:r>
        <w:rPr>
          <w:rFonts w:ascii="Times New Roman" w:hAnsi="Times New Roman"/>
          <w:b/>
          <w:sz w:val="24"/>
          <w:szCs w:val="24"/>
        </w:rPr>
        <w:t>4 pkt</w:t>
      </w:r>
      <w:r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Ponadto uwzględnione zostanie: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dysponowanie osobami zdolnymi do wykonania zadania, jeżeli wnioskodawca wykaże, że dysponuje lub będzie dysponował na czas realizacji Programu osobami zdolnymi koordynować i wykonywać usługi asystenta,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związane z zarządzaniem i organizacją usług w zakresie tożsamym z przedmiotem zadania, </w:t>
      </w:r>
      <w:r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zadania,</w:t>
      </w:r>
    </w:p>
    <w:p>
      <w:pPr>
        <w:pStyle w:val="ListParagraph"/>
        <w:numPr>
          <w:ilvl w:val="0"/>
          <w:numId w:val="2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6.2.1. </w:t>
      </w:r>
      <w:r>
        <w:rPr>
          <w:rFonts w:ascii="Times New Roman" w:hAnsi="Times New Roman"/>
          <w:sz w:val="24"/>
          <w:szCs w:val="24"/>
        </w:rPr>
        <w:t xml:space="preserve">Łączna liczba punktów za spełnienie kryteriów, o których mowa w ust. 6.2. wynosi </w:t>
      </w:r>
      <w:r>
        <w:rPr>
          <w:rFonts w:ascii="Times New Roman" w:hAnsi="Times New Roman"/>
          <w:b/>
          <w:sz w:val="24"/>
          <w:szCs w:val="24"/>
        </w:rPr>
        <w:t>12 pkt</w:t>
      </w:r>
      <w:r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Maksymalna liczba punktów, jaką można w sumie uzyskać po dokonaniu oceny formalnej i merytorycznej wynosi </w:t>
      </w:r>
      <w:r>
        <w:rPr>
          <w:rFonts w:ascii="Times New Roman" w:hAnsi="Times New Roman"/>
          <w:b/>
          <w:bCs/>
          <w:sz w:val="24"/>
          <w:szCs w:val="24"/>
        </w:rPr>
        <w:t>17 pkt</w:t>
      </w:r>
      <w:r>
        <w:rPr>
          <w:rFonts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Pierwszeństwo w przyznaniu rekomendacji przez Wojewodę mają wnioski, które uzyskają najwyższą liczbę punktów.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agwek1"/>
        <w:spacing w:lineRule="auto" w:line="360" w:before="0" w:after="160"/>
        <w:rPr>
          <w:rStyle w:val="Strong"/>
          <w:rFonts w:ascii="Times New Roman" w:hAnsi="Times New Roman" w:cs="Times New Roman"/>
          <w:sz w:val="24"/>
          <w:szCs w:val="24"/>
        </w:rPr>
      </w:pPr>
      <w:bookmarkStart w:id="110" w:name="_Toc56768974"/>
      <w:r>
        <w:rPr>
          <w:rFonts w:cs="Times New Roman" w:ascii="Times New Roman" w:hAnsi="Times New Roman"/>
          <w:b/>
          <w:sz w:val="24"/>
          <w:szCs w:val="24"/>
        </w:rPr>
        <w:t>XI.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110"/>
      <w:r>
        <w:rPr>
          <w:rStyle w:val="Strong"/>
          <w:rFonts w:cs="Times New Roman" w:ascii="Times New Roman" w:hAnsi="Times New Roman"/>
          <w:sz w:val="24"/>
          <w:szCs w:val="24"/>
        </w:rPr>
        <w:t>Przetwarzanie danych osobowych</w:t>
      </w:r>
    </w:p>
    <w:p>
      <w:pPr>
        <w:pStyle w:val="Default"/>
        <w:numPr>
          <w:ilvl w:val="0"/>
          <w:numId w:val="26"/>
        </w:numPr>
        <w:spacing w:lineRule="auto" w:line="360"/>
        <w:ind w:left="357" w:hanging="357"/>
        <w:jc w:val="both"/>
        <w:rPr>
          <w:sz w:val="20"/>
          <w:szCs w:val="20"/>
        </w:rPr>
      </w:pPr>
      <w:r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>
      <w:pPr>
        <w:pStyle w:val="Default"/>
        <w:numPr>
          <w:ilvl w:val="0"/>
          <w:numId w:val="26"/>
        </w:numPr>
        <w:spacing w:lineRule="auto" w:line="36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Jeżeli w związku z realizacją przedmiotu umowy zaistnieje potrzeba przetwarzania przez gminę/powiat 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gmina/powiat 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gmina/powiat zobowiązuje się przekazać osobie fizycznej, o której mowa w zdaniu pierwszym, pisemną informację o przetwarzaniu jej danych osobowych, co może nastąpić w szczególności poprzez przekazanie osobie fizycznej </w:t>
      </w:r>
      <w:r>
        <w:rPr>
          <w:bCs/>
          <w:color w:val="000000" w:themeColor="text1"/>
        </w:rPr>
        <w:t>formularza przetwarzania danych osobowych</w:t>
      </w:r>
      <w:r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zgodnego z ustalonym przez gminę/powiat wzorem. Podpisany egzemplarz informacji lub formularza gmina/powiat zachowa w dokumentacji finansowo-rzeczowej dotyczącej realizacji umowy. </w:t>
      </w:r>
    </w:p>
    <w:p>
      <w:pPr>
        <w:pStyle w:val="Default"/>
        <w:numPr>
          <w:ilvl w:val="0"/>
          <w:numId w:val="26"/>
        </w:numPr>
        <w:spacing w:lineRule="auto" w:line="36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Za realizację obowiązku informacyjnego, o którym mowa w art. 13 lub art. 14 RODO, pełną odpowiedzialność ponosi gmina/powiat. </w:t>
      </w:r>
    </w:p>
    <w:p>
      <w:pPr>
        <w:pStyle w:val="Default"/>
        <w:numPr>
          <w:ilvl w:val="0"/>
          <w:numId w:val="26"/>
        </w:numPr>
        <w:spacing w:lineRule="auto" w:line="36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>
      <w:pPr>
        <w:pStyle w:val="Default"/>
        <w:numPr>
          <w:ilvl w:val="0"/>
          <w:numId w:val="26"/>
        </w:numPr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Gmina/powiat oświadcza, że ponosi wyłączną odpowiedzialność wobec osób trzecich za szkody powstałe w związku z realizacją umowy.</w:t>
      </w:r>
    </w:p>
    <w:p>
      <w:pPr>
        <w:pStyle w:val="Default"/>
        <w:numPr>
          <w:ilvl w:val="0"/>
          <w:numId w:val="26"/>
        </w:numPr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>Dane osób fizycznych przetwarzane przez gminę/powiat, w szczególności dane osób świadczących usługi opieki asystenta oraz uczestników Programu albo opiekunów prawnych mogą być udostępniane Ministrowi m.in. do celów sprawozdawczych czy kontrolnych.</w:t>
      </w:r>
    </w:p>
    <w:p>
      <w:pPr>
        <w:pStyle w:val="Default"/>
        <w:numPr>
          <w:ilvl w:val="0"/>
          <w:numId w:val="26"/>
        </w:numPr>
        <w:spacing w:lineRule="auto" w: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 udostępniania Ministrowi danych osób fizycznych, o których mowa w ust. 6 gmina/powiat zrealizuje w imieniu Ministra obowiązek wynikający z art. 14 RODO i poinformuje te osoby o przetwarzaniu ich danych przez Ministra.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agwek1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bookmarkStart w:id="111" w:name="_Toc14868082"/>
      <w:bookmarkStart w:id="112" w:name="_Toc14779260"/>
      <w:bookmarkStart w:id="113" w:name="_Toc14163163"/>
      <w:bookmarkStart w:id="114" w:name="_Toc14098680"/>
      <w:bookmarkStart w:id="115" w:name="_Toc13231237"/>
      <w:bookmarkStart w:id="116" w:name="_Toc11157018"/>
      <w:bookmarkStart w:id="117" w:name="_Toc11156371"/>
      <w:bookmarkStart w:id="118" w:name="_Toc56768975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rPr>
          <w:rFonts w:cs="Times New Roman" w:ascii="Times New Roman" w:hAnsi="Times New Roman"/>
          <w:b/>
          <w:sz w:val="24"/>
          <w:szCs w:val="24"/>
        </w:rPr>
        <w:t>XII. Zadania podmiotów realizujących Program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Ministra należy: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Programu;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ogłoszenie Programu oraz zamieszczenie ogłoszenia o naborze wniosków w Biuletynie Informacji Publicznej na stronie podmiotowej Ministra;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weryfikowanie złożonych przez wojewodów list rekomendowanych wniosków i ich zatwierdzenie do finansowania w ramach Programu;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opublikowanie w Biuletynie Informacji Publicznej na stronie podmiotowej Ministra zatwierdzonej listy rekomendowanych wniosków do finansowania w ramach Programu;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zawieranie umów z wojewodami w sprawie przekazania środków Funduszu Solidarnościowego przyznanych w ramach Programu;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wzorów: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 gminy/powiatu na środki finansowe z Programu „Asystent osobisty osoby niepełnosprawnej” – edycja 2021, który stanowi załącznik nr 1 do Programu,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 wojewody na środki finansowe z Programu „Asystent osobisty osoby niepełnosprawnej” – edycja 2021, który stanowi załącznik nr 2 do Programu,</w:t>
      </w:r>
    </w:p>
    <w:p>
      <w:pPr>
        <w:pStyle w:val="ListParagraph"/>
        <w:numPr>
          <w:ilvl w:val="0"/>
          <w:numId w:val="10"/>
        </w:numPr>
        <w:spacing w:lineRule="auto" w:line="36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rekomendowanych wniosków do finansowania w ramach Programu „Asystent osobisty osoby niepełnosprawnej” – edycja 2021, który stanowi załącznik </w:t>
        <w:br/>
        <w:t>nr 3 do Programu,</w:t>
      </w:r>
    </w:p>
    <w:p>
      <w:pPr>
        <w:pStyle w:val="ListParagraph"/>
        <w:numPr>
          <w:ilvl w:val="0"/>
          <w:numId w:val="10"/>
        </w:numPr>
        <w:spacing w:lineRule="auto" w:line="36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zestawienia dla gmin/powiatów z realizacji Programu </w:t>
      </w:r>
      <w:r>
        <w:rPr>
          <w:rFonts w:ascii="Times New Roman" w:hAnsi="Times New Roman"/>
          <w:sz w:val="24"/>
          <w:szCs w:val="24"/>
        </w:rPr>
        <w:t>Asystent osobisty osoby niepełnosprawnej” – edycja 2021</w:t>
      </w:r>
      <w:r>
        <w:rPr>
          <w:rFonts w:ascii="Times New Roman" w:hAnsi="Times New Roman"/>
          <w:color w:val="000000"/>
          <w:sz w:val="24"/>
        </w:rPr>
        <w:t>, który stanowi załącznik nr 4 do niniejszego Programu,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gmin/powiatów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z realizacji  Programu „Asystent osobisty osoby niepełnosprawnej” – edycja 2021, który stanowi załącznik nr 5 do Programu,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wojewody z realizacji Programu „Asystent osobisty osoby niepełnosprawnej” – edycja 2021, który stanowi załącznik nr 6 do Programu,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o przyjęciu środków finansowych z Programu „Asystent osobisty osoby niepełnosprawnej” – edycja 2021, który stanowi załącznik nr 7 do Programu,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zgłoszenia do Programu „Asystent osobisty osoby niepełnosprawnej” – edycja 2021, który stanowi załącznik nr 8 do Programu,</w:t>
      </w:r>
    </w:p>
    <w:p>
      <w:pPr>
        <w:pStyle w:val="ListParagraph"/>
        <w:numPr>
          <w:ilvl w:val="0"/>
          <w:numId w:val="10"/>
        </w:numPr>
        <w:spacing w:lineRule="auto" w:line="36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realizacji usług asystenta w ramach Programu „Asystent osobisty osoby niepełnosprawnej” – edycja 2021, który stanowi załącznik nr 9 do Programu,</w:t>
      </w:r>
    </w:p>
    <w:p>
      <w:pPr>
        <w:pStyle w:val="ListParagraph"/>
        <w:numPr>
          <w:ilvl w:val="0"/>
          <w:numId w:val="10"/>
        </w:numPr>
        <w:spacing w:lineRule="auto" w:line="36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2021, który stanowi załącznik nr 10 do Programu,</w:t>
      </w:r>
    </w:p>
    <w:p>
      <w:pPr>
        <w:pStyle w:val="ListParagraph"/>
        <w:numPr>
          <w:ilvl w:val="0"/>
          <w:numId w:val="10"/>
        </w:numPr>
        <w:spacing w:lineRule="auto" w:line="36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monitorowanie i kontrola realizacji zadań wojewodów wynikających z Programu;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akceptowanie sprawozdań składanych przez wojewodów;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sporządzanie rocznego sprawozdania z realizacji Programu na podstawie sprawozdań przekazanych przez wojewodów.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zadań wojewody należy: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>
        <w:rPr>
          <w:rFonts w:ascii="Times New Roman" w:hAnsi="Times New Roman"/>
          <w:color w:val="000000"/>
          <w:sz w:val="24"/>
          <w:szCs w:val="24"/>
        </w:rPr>
        <w:t>o naborze wniosków w Biuletynie Informacji Publicznej na stronie podmiotowej właściwego wojewody;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udzielanie informacji o zasadach Programu i warunkach naboru wniosków;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przeprowadzenie naboru wniosków;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ocena wniosków gmin/powiatów na środki finansowe z Programu „Asystent osobisty osoby niepełnosprawnej” – edycja 2021 pod względem formalnym, merytorycznym oraz pod względem racjonalnego i celowego wydatkowania środków;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„Asystent osobisty osoby niepełnosprawnej” – edycja 2021, stanowiącej załącznik nr 11 do niniejszego Programu;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sporządzenie i przekazanie Ministrowi wniosku wojewody na środki finansowe z Programu „Asystent osobisty osoby niepełnosprawnej” – edycja 2021 wraz z listą rekomendowanych wniosków, stanowiących załącznik nr 2 i 3 do niniejszego Programu;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informowanie gmin/powiatów o obowiązku i terminie złożenia oświadczenia o przyjęciu lub rezygnacji ze środków przyznanych w ramach Programu;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zawieranie umów z właściwymi gminami/powiatami w terminie 30 dni od podpisania umowy z Ministrem;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przekazanie gminom/powiatom środków finansowych;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analizowanie oraz rozliczanie środków finansowych przyznanych gminom/powiatom na realizację Programu i koszty jego obsługi;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przekazanie Ministrowi rocznego sprawozdania z realizacji Programu dla wojewodów, według wzoru stanowiącego załącznik nr 7 do niniejszego Programu;</w:t>
      </w:r>
    </w:p>
    <w:p>
      <w:pPr>
        <w:pStyle w:val="ListParagraph"/>
        <w:numPr>
          <w:ilvl w:val="0"/>
          <w:numId w:val="11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koordynacja, nadzór oraz kontrola zadań realizowanych przez gminę/powiat w ramach Programu.</w:t>
      </w:r>
    </w:p>
    <w:p>
      <w:pPr>
        <w:pStyle w:val="ListParagraph"/>
        <w:spacing w:lineRule="auto" w:line="360" w:before="0" w:after="0"/>
        <w:ind w:left="28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284" w:hanging="284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zadań gminy/powiatu należy: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poinformowanie o ogłoszeniu o naborze wniosków na stronie podmiotowej właściwej gminy/powiatu;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składanie wniosku gmin/powiatu na środki finansowe z  Programu „Asystent osobisty osoby niepełnosprawnej” – edycja 2021 do właściwego wojewody;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niezwłocznie po ogłoszeniu wyników naboru wniosków złożenie do wojewody oświadczenia o przyjęciu bądź rezygnacji ze środków finansowych przyznanych w ramach Programu;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koordynowanie realizacji Programu w gminie/powiecie;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realizowanie zadań zgodnie z podpisanymi umowami w zakresie wysokości i trybu przekazywania środków Funduszu Solidarnościowego;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rozliczenie z wojewodą otrzymanych środków finansowych oraz poddanie się kontroli zgodnie z umową;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przedstawienie na żądanie wojewody wyjaśnień, informacji i dokumentów dotyczących zadań realizowanych w ramach Programu;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przekazywanie właściwemu wojewodzie zestawienia z realizacji Programu według wzoru stanowiącego załącznik nr 4 do niniejszego Programu;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przekazywanie, właściwemu wojewodzie, sprawozdania z realizacji Programu według wzoru stanowiącego załącznik nr 5 do niniejszego Programu;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 zlecania realizacji usług asystenta  przez gminę/powiat podmiotom, o których mowa w dziale V gmina/powiat są zobowiązane do koordynacji, nadzoru, kontroli zadań oraz sposobu wykorzystania środków zgodnie z Programem. Ponadto gmina/powiat są zobowiązane do podpisania umów z ww. podmiotami, które powinny zawierać wzory sprawozdań;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dokumentacji potwierdzającej realizację Programu;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 wsparciu finansowym ze środków pochodzących z Funduszu Solidarnościowego przyznanych w ramach Programu; informacja na ten temat powinna się znaleźć we wszystkich materiałach, publikacjach, informacjach dla mediów, ogłoszeniach oraz wystąpieniach publicznych dotyczących realizowanego zadania;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ramach informowania, o którym mowa w ust. 12 gmina/powiat powinny stosować </w:t>
      </w:r>
      <w:r>
        <w:rPr>
          <w:rFonts w:ascii="Times New Roman" w:hAnsi="Times New Roman"/>
          <w:spacing w:val="-4"/>
          <w:sz w:val="24"/>
          <w:szCs w:val="24"/>
        </w:rPr>
        <w:t>Wytyczne w zakresie wypełniania obowiązków informacyjnych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wraz z niezbędnymi załącznikami, opracowane przez Kancelarię Prezesa Rady Ministrów</w:t>
      </w:r>
      <w:r>
        <w:rPr>
          <w:rStyle w:val="Zakotwiczenieprzypisudolnego"/>
          <w:rFonts w:ascii="Times New Roman" w:hAnsi="Times New Roman"/>
          <w:spacing w:val="-4"/>
          <w:sz w:val="24"/>
          <w:szCs w:val="24"/>
        </w:rPr>
        <w:footnoteReference w:id="9"/>
      </w:r>
      <w:r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rozpowszechnianie w dowolnej formie, w prasie, radiu, telewizji, internecie oraz innych publikacjach nazwy Programu, przedmiotu i celu, na który przyznano wsparcie finansowe oraz informacji o wysokości przyznanego wsparcia finansowego.</w:t>
      </w:r>
    </w:p>
    <w:p>
      <w:pPr>
        <w:pStyle w:val="Nagwek1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bookmarkStart w:id="119" w:name="_Toc56768976"/>
      <w:bookmarkStart w:id="120" w:name="_Toc14868083"/>
      <w:bookmarkStart w:id="121" w:name="_Toc14779261"/>
      <w:bookmarkStart w:id="122" w:name="_Toc14163164"/>
      <w:bookmarkStart w:id="123" w:name="_Toc14098681"/>
      <w:bookmarkStart w:id="124" w:name="_Toc13231238"/>
      <w:bookmarkStart w:id="125" w:name="_Toc11157019"/>
      <w:bookmarkStart w:id="126" w:name="_Toc11156372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rPr>
          <w:rFonts w:cs="Times New Roman" w:ascii="Times New Roman" w:hAnsi="Times New Roman"/>
          <w:b/>
          <w:sz w:val="24"/>
          <w:szCs w:val="24"/>
        </w:rPr>
        <w:t>XIII. Monitoring Programu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Gmina/</w:t>
      </w:r>
      <w:r>
        <w:rPr>
          <w:rFonts w:ascii="Times New Roman" w:hAnsi="Times New Roman"/>
          <w:color w:val="000000"/>
          <w:sz w:val="24"/>
        </w:rPr>
        <w:t>powiat przekazuje do wojewody zestawienie z realizacji Programu w terminie 15 dni od dnia zakończenia realizacji Programu.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Gmina/powiat przekazuje do wojewody sprawozdanie z realizacji Programu, obejmujące rozliczenie środków z Funduszu Solidarnościowego w zakresie rzeczowym i finansowym, w terminie 30 dni od dnia zakończenia realizacji Programu.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Wojewoda przekazuje do Ministra sprawozdanie z realizacji Programu, obejmujące rozliczenie środków z Funduszu Solidarnościowego w zakresie rzeczowym i finansowym, w terminie 30 dni od dnia zakończenia realizacji zadania.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Sporządzenie sprawozdania zbiorczego z realizacji Programu w terminie do dnia 31 maja 2022 r. należy do zadań Ministra.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 do Programu: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Wzór wniosku gminy/powiatu na środki finansowe z Programu „Asystent osobisty osoby niepełnosprawnej” – edycja 2021 (załącznik nr 1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Wzór wniosku wojewody na środki finansowe z Programu „Asystent osobisty osoby niepełnosprawnej” – edycja 2021 (załącznik nr 2 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Wzór listy rekomendowanych wniosków do finansowania w ramach Programu „Asystent osobisty osoby niepełnosprawnej” (załącznik nr 3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Wzór </w:t>
      </w:r>
      <w:r>
        <w:rPr>
          <w:rFonts w:ascii="Times New Roman" w:hAnsi="Times New Roman"/>
          <w:color w:val="000000"/>
          <w:sz w:val="20"/>
          <w:szCs w:val="20"/>
        </w:rPr>
        <w:t xml:space="preserve">zestawienia dla gmin/powiatów z realizacji Programu </w:t>
      </w:r>
      <w:r>
        <w:rPr>
          <w:rFonts w:ascii="Times New Roman" w:hAnsi="Times New Roman"/>
          <w:sz w:val="20"/>
          <w:szCs w:val="20"/>
        </w:rPr>
        <w:t>„Asystent osobisty osoby niepełnosprawnej”</w:t>
      </w:r>
      <w:r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Wzór sprawozdania gminy/powiatu z realizacji  Programu „Asystent osobisty osoby niepełnosprawnej” </w:t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edycja 2021 (załącznik nr 5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Wzór sprawozdania wojewody z realizacji Programu „Asystent osobisty osoby niepełnosprawnej” – edycja 2021 (załącznik nr 6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Wzór oświadczenia o przyjęciu środków finansowych z Programu „Asystent osobisty osoby niepełnosprawnej” – edycja 2021 (załącznik nr 7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Wzór karty zgłoszenia do Programu „Asystent osobisty osoby niepełnosprawnej” – edycja 2021 (załącznik nr 8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Wzór karty realizacji usług asystenta w ramach Programu „Asystent osobisty osoby niepełnosprawnej" – edycja 2021 (załącznik nr 9 do Programu),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Wzór ewidencji przebiegu pojazdu w ramach Programu „Asystent osobisty osoby niepełnosprawnej” – edycja 2021 (załącznik nr 10 do Programu),</w:t>
      </w:r>
    </w:p>
    <w:p>
      <w:pPr>
        <w:pStyle w:val="Normal"/>
        <w:snapToGrid w:val="false"/>
        <w:spacing w:lineRule="auto" w:line="360" w:before="0"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357545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color w:val="000000"/>
        </w:rPr>
        <w:t xml:space="preserve">Zgodnie z art. 5 i </w:t>
      </w:r>
      <w:r>
        <w:rPr>
          <w:rFonts w:ascii="Times New Roman" w:hAnsi="Times New Roman"/>
          <w:color w:val="000000"/>
          <w:lang w:val="pl-PL"/>
        </w:rPr>
        <w:t xml:space="preserve">art. </w:t>
      </w:r>
      <w:r>
        <w:rPr>
          <w:rFonts w:ascii="Times New Roman" w:hAnsi="Times New Roman"/>
          <w:color w:val="000000"/>
        </w:rPr>
        <w:t xml:space="preserve">62 </w:t>
      </w:r>
      <w:r>
        <w:rPr>
          <w:rFonts w:ascii="Times New Roman" w:hAnsi="Times New Roman"/>
          <w:color w:val="000000"/>
          <w:lang w:val="pl-PL"/>
        </w:rPr>
        <w:t xml:space="preserve">ustawy z dnia 27 sierpnia 1997 r. o </w:t>
      </w:r>
      <w:r>
        <w:rPr>
          <w:rFonts w:ascii="Times New Roman" w:hAnsi="Times New Roman"/>
          <w:color w:val="000000"/>
        </w:rPr>
        <w:t>rehabilitacji zawodowej i społecznej oraz zatrudnianiu osób niepełnosprawnych (Dz</w:t>
      </w:r>
      <w:r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Times New Roman" w:hAnsi="Times New Roman"/>
          <w:color w:val="000000" w:themeColor="text1"/>
        </w:rPr>
        <w:footnoteRef/>
        <w:tab/>
      </w:r>
      <w:r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>
        <w:rPr>
          <w:rFonts w:ascii="Times New Roman" w:hAnsi="Times New Roman"/>
          <w:color w:val="000000" w:themeColor="text1"/>
        </w:rPr>
        <w:t xml:space="preserve"> Dane z SI EKSMOON </w:t>
      </w:r>
      <w:r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4">
    <w:p>
      <w:pPr>
        <w:pStyle w:val="Footnotetext"/>
        <w:jc w:val="both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Tj. osoby ze znacznym stopniem niepełnosprawności oraz dzieci niepełnosprawne z orzeczeniem o niepełnosprawności łącznie ze wskazaniami pkt 7 i 8 w orzeczeniu o niepełnosprawności: </w:t>
      </w:r>
      <w:r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/>
          <w:lang w:val="pl-PL" w:eastAsia="pl-PL"/>
        </w:rPr>
        <w:t>.</w:t>
      </w:r>
    </w:p>
  </w:footnote>
  <w:footnote w:id="5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ascii="Times New Roman" w:hAnsi="Times New Roman"/>
          <w:sz w:val="20"/>
          <w:szCs w:val="20"/>
        </w:rPr>
        <w:footnoteRef/>
        <w:tab/>
      </w:r>
      <w:r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Zawód asystenta osoby niepełnosprawnej </w:t>
      </w:r>
      <w:r>
        <w:rPr>
          <w:rFonts w:eastAsia="Calibri" w:ascii="Times New Roman" w:hAnsi="Times New Roman" w:eastAsiaTheme="minorHAnsi"/>
          <w:bCs/>
          <w:sz w:val="20"/>
          <w:szCs w:val="20"/>
        </w:rPr>
        <w:t>jest</w:t>
      </w:r>
      <w:r>
        <w:rPr>
          <w:rFonts w:ascii="Times New Roman" w:hAnsi="Times New Roman"/>
          <w:sz w:val="20"/>
          <w:szCs w:val="20"/>
        </w:rPr>
        <w:t xml:space="preserve"> w</w:t>
      </w:r>
      <w:r>
        <w:rPr>
          <w:rFonts w:eastAsia="Calibri" w:ascii="Times New Roman" w:hAnsi="Times New Roman" w:eastAsiaTheme="minorHAnsi"/>
          <w:bCs/>
          <w:sz w:val="20"/>
          <w:szCs w:val="20"/>
        </w:rPr>
        <w:t xml:space="preserve">ymieniony w rozporządzeniu Ministra Pracy i Polityki Społecznej z dnia 7 sierpnia 2014 r. w sprawie klasyfikacji zawodów i specjalności na potrzeby rynku pracy oraz zakresu jej stosowania pod symbolem 341201 w ramach grupy: Pracownicy wsparcia rodziny, pomocy społecznej i pracy socjalnej (symbol 3412). 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7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  <w:lang w:val="pl-PL"/>
        </w:rPr>
        <w:t>)</w:t>
      </w:r>
      <w:r>
        <w:rPr/>
        <w:t xml:space="preserve"> </w:t>
      </w:r>
      <w:r>
        <w:rPr>
          <w:rFonts w:ascii="Times New Roman" w:hAnsi="Times New Roman"/>
          <w:lang w:eastAsia="en-US"/>
        </w:rPr>
        <w:t>Jeżeli gmina</w:t>
      </w:r>
      <w:r>
        <w:rPr>
          <w:rFonts w:ascii="Times New Roman" w:hAnsi="Times New Roman"/>
          <w:lang w:val="pl-PL" w:eastAsia="en-US"/>
        </w:rPr>
        <w:t>/powiat</w:t>
      </w:r>
      <w:r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>
        <w:rPr>
          <w:rFonts w:ascii="Times New Roman" w:hAnsi="Times New Roman"/>
          <w:lang w:eastAsia="en-US"/>
        </w:rPr>
        <w:t xml:space="preserve">zgodnie z </w:t>
      </w:r>
      <w:r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>
        <w:rPr>
          <w:rFonts w:ascii="Times New Roman" w:hAnsi="Times New Roman"/>
          <w:lang w:eastAsia="en-US"/>
        </w:rPr>
        <w:t xml:space="preserve"> </w:t>
      </w:r>
      <w:hyperlink r:id="rId1">
        <w:r>
          <w:rPr>
            <w:webHidden/>
            <w:rStyle w:val="Czeinternetowe"/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8">
    <w:p>
      <w:pPr>
        <w:pStyle w:val="Footnotetext"/>
        <w:jc w:val="both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9">
    <w:p>
      <w:pPr>
        <w:pStyle w:val="Footnotetext"/>
        <w:rPr/>
      </w:pPr>
      <w:r>
        <w:rPr>
          <w:rStyle w:val="Footnotereference"/>
          <w:rFonts w:ascii="Times New Roman" w:hAnsi="Times New Roman"/>
        </w:rPr>
        <w:footnoteRef/>
        <w:tab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Dokumenty </w:t>
      </w:r>
      <w:r>
        <w:rPr>
          <w:rFonts w:ascii="Times New Roman" w:hAnsi="Times New Roman"/>
          <w:lang w:val="pl-PL"/>
        </w:rPr>
        <w:t xml:space="preserve">dostępne na </w:t>
      </w:r>
      <w:r>
        <w:rPr>
          <w:rFonts w:ascii="Times New Roman" w:hAnsi="Times New Roman"/>
        </w:rPr>
        <w:t xml:space="preserve">stronie </w:t>
      </w:r>
      <w:hyperlink r:id="rId2">
        <w:r>
          <w:rPr>
            <w:webHidden/>
            <w:rStyle w:val="Czeinternetow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4"/>
        <w:b/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lvl w:ilvl="0">
      <w:start w:val="1"/>
      <w:numFmt w:val="lowerLetter"/>
      <w:lvlText w:val="%1)"/>
      <w:lvlJc w:val="left"/>
      <w:pPr>
        <w:ind w:left="862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Segoe UI Symbol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Segoe UI Symbol"/>
        <w:color w:val="000000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Aria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Segoe UI Symbol"/>
        <w:color w:val="00000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Segoe UI Symbol"/>
        <w:color w:val="000000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Aria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Segoe UI Symbol"/>
        <w:color w:val="00000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highlight w:val="white"/>
        <w:szCs w:val="24"/>
        <w:rFonts w:cs="Segoe UI Symbol"/>
        <w:color w:val="000000"/>
      </w:rPr>
    </w:lvl>
  </w:abstractNum>
  <w:abstractNum w:abstractNumId="22">
    <w:lvl w:ilvl="0">
      <w:start w:val="4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ind w:left="729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24">
    <w:lvl w:ilvl="0">
      <w:start w:val="5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558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15580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1558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Czeinternetowe">
    <w:name w:val="Łącze internetowe"/>
    <w:uiPriority w:val="99"/>
    <w:unhideWhenUsed/>
    <w:rsid w:val="00d15580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d6799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qFormat/>
    <w:rsid w:val="001d6799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15e3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7614f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qFormat/>
    <w:rsid w:val="0047614f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1721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417219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17219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17219"/>
    <w:rPr>
      <w:rFonts w:ascii="Tahoma" w:hAnsi="Tahoma" w:eastAsia="Calibri" w:cs="Tahoma"/>
      <w:sz w:val="16"/>
      <w:szCs w:val="16"/>
    </w:rPr>
  </w:style>
  <w:style w:type="character" w:styleId="Highlight" w:customStyle="1">
    <w:name w:val="highlight"/>
    <w:basedOn w:val="DefaultParagraphFont"/>
    <w:qFormat/>
    <w:rsid w:val="00a21ed6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331ad"/>
    <w:rPr>
      <w:rFonts w:ascii="Calibri" w:hAnsi="Calibri"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331ad"/>
    <w:rPr>
      <w:vertAlign w:val="superscript"/>
    </w:rPr>
  </w:style>
  <w:style w:type="character" w:styleId="Wyrnienie">
    <w:name w:val="Wyróżnienie"/>
    <w:qFormat/>
    <w:rsid w:val="0097612b"/>
    <w:rPr>
      <w:i/>
      <w:sz w:val="20"/>
    </w:rPr>
  </w:style>
  <w:style w:type="character" w:styleId="Strong">
    <w:name w:val="Strong"/>
    <w:qFormat/>
    <w:rsid w:val="00706b9d"/>
    <w:rPr>
      <w:b/>
      <w:bCs w:val="false"/>
      <w:sz w:val="20"/>
    </w:rPr>
  </w:style>
  <w:style w:type="character" w:styleId="ListLabel1">
    <w:name w:val="ListLabel 1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2">
    <w:name w:val="ListLabel 2"/>
    <w:qFormat/>
    <w:rPr>
      <w:rFonts w:ascii="Times New Roman" w:hAnsi="Times New Roman"/>
      <w:color w:val="00000A"/>
      <w:sz w:val="24"/>
    </w:rPr>
  </w:style>
  <w:style w:type="character" w:styleId="ListLabel3">
    <w:name w:val="ListLabel 3"/>
    <w:qFormat/>
    <w:rPr>
      <w:rFonts w:eastAsia="Times New Roman"/>
      <w:b w:val="false"/>
      <w:strike w:val="false"/>
      <w:dstrike w:val="false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rFonts w:eastAsia="Calibri"/>
      <w:w w:val="100"/>
    </w:rPr>
  </w:style>
  <w:style w:type="character" w:styleId="ListLabel25">
    <w:name w:val="ListLabel 25"/>
    <w:qFormat/>
    <w:rPr>
      <w:w w:val="100"/>
    </w:rPr>
  </w:style>
  <w:style w:type="character" w:styleId="ListLabel26">
    <w:name w:val="ListLabel 26"/>
    <w:qFormat/>
    <w:rPr>
      <w:w w:val="100"/>
    </w:rPr>
  </w:style>
  <w:style w:type="character" w:styleId="ListLabel27">
    <w:name w:val="ListLabel 27"/>
    <w:qFormat/>
    <w:rPr>
      <w:w w:val="100"/>
    </w:rPr>
  </w:style>
  <w:style w:type="character" w:styleId="ListLabel28">
    <w:name w:val="ListLabel 28"/>
    <w:qFormat/>
    <w:rPr>
      <w:w w:val="100"/>
    </w:rPr>
  </w:style>
  <w:style w:type="character" w:styleId="ListLabel29">
    <w:name w:val="ListLabel 29"/>
    <w:qFormat/>
    <w:rPr>
      <w:w w:val="100"/>
    </w:rPr>
  </w:style>
  <w:style w:type="character" w:styleId="ListLabel30">
    <w:name w:val="ListLabel 30"/>
    <w:qFormat/>
    <w:rPr>
      <w:w w:val="100"/>
    </w:rPr>
  </w:style>
  <w:style w:type="character" w:styleId="ListLabel31">
    <w:name w:val="ListLabel 31"/>
    <w:qFormat/>
    <w:rPr>
      <w:w w:val="100"/>
    </w:rPr>
  </w:style>
  <w:style w:type="character" w:styleId="ListLabel32">
    <w:name w:val="ListLabel 32"/>
    <w:qFormat/>
    <w:rPr>
      <w:w w:val="100"/>
    </w:rPr>
  </w:style>
  <w:style w:type="character" w:styleId="ListLabel33">
    <w:name w:val="ListLabel 33"/>
    <w:qFormat/>
    <w:rPr>
      <w:strike w:val="false"/>
      <w:dstrike w:val="false"/>
      <w:w w:val="100"/>
    </w:rPr>
  </w:style>
  <w:style w:type="character" w:styleId="ListLabel34">
    <w:name w:val="ListLabel 34"/>
    <w:qFormat/>
    <w:rPr>
      <w:w w:val="100"/>
    </w:rPr>
  </w:style>
  <w:style w:type="character" w:styleId="ListLabel35">
    <w:name w:val="ListLabel 35"/>
    <w:qFormat/>
    <w:rPr>
      <w:w w:val="100"/>
    </w:rPr>
  </w:style>
  <w:style w:type="character" w:styleId="ListLabel36">
    <w:name w:val="ListLabel 36"/>
    <w:qFormat/>
    <w:rPr>
      <w:w w:val="100"/>
    </w:rPr>
  </w:style>
  <w:style w:type="character" w:styleId="ListLabel37">
    <w:name w:val="ListLabel 37"/>
    <w:qFormat/>
    <w:rPr>
      <w:w w:val="100"/>
    </w:rPr>
  </w:style>
  <w:style w:type="character" w:styleId="ListLabel38">
    <w:name w:val="ListLabel 38"/>
    <w:qFormat/>
    <w:rPr>
      <w:w w:val="100"/>
    </w:rPr>
  </w:style>
  <w:style w:type="character" w:styleId="ListLabel39">
    <w:name w:val="ListLabel 39"/>
    <w:qFormat/>
    <w:rPr>
      <w:w w:val="100"/>
    </w:rPr>
  </w:style>
  <w:style w:type="character" w:styleId="ListLabel40">
    <w:name w:val="ListLabel 40"/>
    <w:qFormat/>
    <w:rPr>
      <w:w w:val="100"/>
    </w:rPr>
  </w:style>
  <w:style w:type="character" w:styleId="ListLabel41">
    <w:name w:val="ListLabel 41"/>
    <w:qFormat/>
    <w:rPr>
      <w:w w:val="100"/>
    </w:rPr>
  </w:style>
  <w:style w:type="character" w:styleId="ListLabel42">
    <w:name w:val="ListLabel 42"/>
    <w:qFormat/>
    <w:rPr>
      <w:w w:val="100"/>
    </w:rPr>
  </w:style>
  <w:style w:type="character" w:styleId="ListLabel43">
    <w:name w:val="ListLabel 43"/>
    <w:qFormat/>
    <w:rPr>
      <w:w w:val="100"/>
    </w:rPr>
  </w:style>
  <w:style w:type="character" w:styleId="ListLabel44">
    <w:name w:val="ListLabel 44"/>
    <w:qFormat/>
    <w:rPr>
      <w:w w:val="100"/>
    </w:rPr>
  </w:style>
  <w:style w:type="character" w:styleId="ListLabel45">
    <w:name w:val="ListLabel 45"/>
    <w:qFormat/>
    <w:rPr>
      <w:w w:val="100"/>
    </w:rPr>
  </w:style>
  <w:style w:type="character" w:styleId="ListLabel46">
    <w:name w:val="ListLabel 46"/>
    <w:qFormat/>
    <w:rPr>
      <w:w w:val="100"/>
    </w:rPr>
  </w:style>
  <w:style w:type="character" w:styleId="ListLabel47">
    <w:name w:val="ListLabel 47"/>
    <w:qFormat/>
    <w:rPr>
      <w:w w:val="100"/>
    </w:rPr>
  </w:style>
  <w:style w:type="character" w:styleId="ListLabel48">
    <w:name w:val="ListLabel 48"/>
    <w:qFormat/>
    <w:rPr>
      <w:w w:val="100"/>
    </w:rPr>
  </w:style>
  <w:style w:type="character" w:styleId="ListLabel49">
    <w:name w:val="ListLabel 49"/>
    <w:qFormat/>
    <w:rPr>
      <w:w w:val="100"/>
    </w:rPr>
  </w:style>
  <w:style w:type="character" w:styleId="ListLabel50">
    <w:name w:val="ListLabel 50"/>
    <w:qFormat/>
    <w:rPr>
      <w:w w:val="100"/>
    </w:rPr>
  </w:style>
  <w:style w:type="character" w:styleId="ListLabel51">
    <w:name w:val="ListLabel 51"/>
    <w:qFormat/>
    <w:rPr>
      <w:w w:val="100"/>
    </w:rPr>
  </w:style>
  <w:style w:type="character" w:styleId="ListLabel52">
    <w:name w:val="ListLabel 52"/>
    <w:qFormat/>
    <w:rPr>
      <w:w w:val="100"/>
    </w:rPr>
  </w:style>
  <w:style w:type="character" w:styleId="ListLabel53">
    <w:name w:val="ListLabel 53"/>
    <w:qFormat/>
    <w:rPr>
      <w:w w:val="100"/>
    </w:rPr>
  </w:style>
  <w:style w:type="character" w:styleId="ListLabel54">
    <w:name w:val="ListLabel 54"/>
    <w:qFormat/>
    <w:rPr>
      <w:w w:val="100"/>
    </w:rPr>
  </w:style>
  <w:style w:type="character" w:styleId="ListLabel55">
    <w:name w:val="ListLabel 55"/>
    <w:qFormat/>
    <w:rPr>
      <w:w w:val="100"/>
    </w:rPr>
  </w:style>
  <w:style w:type="character" w:styleId="ListLabel56">
    <w:name w:val="ListLabel 56"/>
    <w:qFormat/>
    <w:rPr>
      <w:w w:val="100"/>
    </w:rPr>
  </w:style>
  <w:style w:type="character" w:styleId="ListLabel57">
    <w:name w:val="ListLabel 57"/>
    <w:qFormat/>
    <w:rPr>
      <w:w w:val="100"/>
    </w:rPr>
  </w:style>
  <w:style w:type="character" w:styleId="ListLabel58">
    <w:name w:val="ListLabel 58"/>
    <w:qFormat/>
    <w:rPr>
      <w:w w:val="100"/>
    </w:rPr>
  </w:style>
  <w:style w:type="character" w:styleId="ListLabel59">
    <w:name w:val="ListLabel 59"/>
    <w:qFormat/>
    <w:rPr>
      <w:w w:val="100"/>
    </w:rPr>
  </w:style>
  <w:style w:type="character" w:styleId="ListLabel60">
    <w:name w:val="ListLabel 60"/>
    <w:qFormat/>
    <w:rPr>
      <w:w w:val="100"/>
    </w:rPr>
  </w:style>
  <w:style w:type="character" w:styleId="ListLabel61">
    <w:name w:val="ListLabel 61"/>
    <w:qFormat/>
    <w:rPr>
      <w:w w:val="100"/>
    </w:rPr>
  </w:style>
  <w:style w:type="character" w:styleId="ListLabel62">
    <w:name w:val="ListLabel 62"/>
    <w:qFormat/>
    <w:rPr>
      <w:w w:val="100"/>
    </w:rPr>
  </w:style>
  <w:style w:type="character" w:styleId="ListLabel63">
    <w:name w:val="ListLabel 63"/>
    <w:qFormat/>
    <w:rPr>
      <w:w w:val="100"/>
    </w:rPr>
  </w:style>
  <w:style w:type="character" w:styleId="ListLabel64">
    <w:name w:val="ListLabel 64"/>
    <w:qFormat/>
    <w:rPr>
      <w:w w:val="100"/>
    </w:rPr>
  </w:style>
  <w:style w:type="character" w:styleId="ListLabel65">
    <w:name w:val="ListLabel 65"/>
    <w:qFormat/>
    <w:rPr>
      <w:w w:val="100"/>
    </w:rPr>
  </w:style>
  <w:style w:type="character" w:styleId="ListLabel66">
    <w:name w:val="ListLabel 66"/>
    <w:qFormat/>
    <w:rPr>
      <w:w w:val="100"/>
    </w:rPr>
  </w:style>
  <w:style w:type="character" w:styleId="ListLabel67">
    <w:name w:val="ListLabel 67"/>
    <w:qFormat/>
    <w:rPr>
      <w:w w:val="100"/>
    </w:rPr>
  </w:style>
  <w:style w:type="character" w:styleId="ListLabel68">
    <w:name w:val="ListLabel 68"/>
    <w:qFormat/>
    <w:rPr>
      <w:w w:val="100"/>
    </w:rPr>
  </w:style>
  <w:style w:type="character" w:styleId="ListLabel69">
    <w:name w:val="ListLabel 69"/>
    <w:qFormat/>
    <w:rPr>
      <w:w w:val="100"/>
      <w:sz w:val="24"/>
    </w:rPr>
  </w:style>
  <w:style w:type="character" w:styleId="ListLabel70">
    <w:name w:val="ListLabel 70"/>
    <w:qFormat/>
    <w:rPr>
      <w:w w:val="100"/>
    </w:rPr>
  </w:style>
  <w:style w:type="character" w:styleId="ListLabel71">
    <w:name w:val="ListLabel 71"/>
    <w:qFormat/>
    <w:rPr>
      <w:w w:val="100"/>
    </w:rPr>
  </w:style>
  <w:style w:type="character" w:styleId="ListLabel72">
    <w:name w:val="ListLabel 72"/>
    <w:qFormat/>
    <w:rPr>
      <w:w w:val="100"/>
    </w:rPr>
  </w:style>
  <w:style w:type="character" w:styleId="ListLabel73">
    <w:name w:val="ListLabel 73"/>
    <w:qFormat/>
    <w:rPr>
      <w:w w:val="100"/>
    </w:rPr>
  </w:style>
  <w:style w:type="character" w:styleId="ListLabel74">
    <w:name w:val="ListLabel 74"/>
    <w:qFormat/>
    <w:rPr>
      <w:w w:val="100"/>
    </w:rPr>
  </w:style>
  <w:style w:type="character" w:styleId="ListLabel75">
    <w:name w:val="ListLabel 75"/>
    <w:qFormat/>
    <w:rPr>
      <w:w w:val="100"/>
    </w:rPr>
  </w:style>
  <w:style w:type="character" w:styleId="ListLabel76">
    <w:name w:val="ListLabel 76"/>
    <w:qFormat/>
    <w:rPr>
      <w:w w:val="100"/>
    </w:rPr>
  </w:style>
  <w:style w:type="character" w:styleId="ListLabel77">
    <w:name w:val="ListLabel 77"/>
    <w:qFormat/>
    <w:rPr>
      <w:w w:val="100"/>
    </w:rPr>
  </w:style>
  <w:style w:type="character" w:styleId="ListLabel78">
    <w:name w:val="ListLabel 78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ascii="Times New Roman" w:hAnsi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ascii="Times New Roman" w:hAnsi="Times New Roman"/>
      <w:b/>
      <w:sz w:val="24"/>
    </w:rPr>
  </w:style>
  <w:style w:type="character" w:styleId="ListLabel97">
    <w:name w:val="ListLabel 97"/>
    <w:qFormat/>
    <w:rPr>
      <w:rFonts w:ascii="Times New Roman" w:hAnsi="Times New Roman"/>
      <w:b w:val="false"/>
      <w:sz w:val="24"/>
    </w:rPr>
  </w:style>
  <w:style w:type="character" w:styleId="ListLabel98">
    <w:name w:val="ListLabel 98"/>
    <w:qFormat/>
    <w:rPr>
      <w:w w:val="100"/>
    </w:rPr>
  </w:style>
  <w:style w:type="character" w:styleId="ListLabel99">
    <w:name w:val="ListLabel 99"/>
    <w:qFormat/>
    <w:rPr>
      <w:w w:val="100"/>
    </w:rPr>
  </w:style>
  <w:style w:type="character" w:styleId="ListLabel100">
    <w:name w:val="ListLabel 100"/>
    <w:qFormat/>
    <w:rPr>
      <w:w w:val="100"/>
    </w:rPr>
  </w:style>
  <w:style w:type="character" w:styleId="ListLabel101">
    <w:name w:val="ListLabel 101"/>
    <w:qFormat/>
    <w:rPr>
      <w:w w:val="100"/>
    </w:rPr>
  </w:style>
  <w:style w:type="character" w:styleId="ListLabel102">
    <w:name w:val="ListLabel 102"/>
    <w:qFormat/>
    <w:rPr>
      <w:w w:val="100"/>
    </w:rPr>
  </w:style>
  <w:style w:type="character" w:styleId="ListLabel103">
    <w:name w:val="ListLabel 103"/>
    <w:qFormat/>
    <w:rPr>
      <w:w w:val="100"/>
    </w:rPr>
  </w:style>
  <w:style w:type="character" w:styleId="ListLabel104">
    <w:name w:val="ListLabel 104"/>
    <w:qFormat/>
    <w:rPr>
      <w:w w:val="100"/>
    </w:rPr>
  </w:style>
  <w:style w:type="character" w:styleId="ListLabel105">
    <w:name w:val="ListLabel 105"/>
    <w:qFormat/>
    <w:rPr>
      <w:w w:val="100"/>
    </w:rPr>
  </w:style>
  <w:style w:type="character" w:styleId="ListLabel106">
    <w:name w:val="ListLabel 106"/>
    <w:qFormat/>
    <w:rPr>
      <w:w w:val="100"/>
    </w:rPr>
  </w:style>
  <w:style w:type="character" w:styleId="ListLabel107">
    <w:name w:val="ListLabel 107"/>
    <w:qFormat/>
    <w:rPr>
      <w:b w:val="false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OCHeading">
    <w:name w:val="TOC Heading"/>
    <w:basedOn w:val="Nagwek1"/>
    <w:uiPriority w:val="39"/>
    <w:unhideWhenUsed/>
    <w:qFormat/>
    <w:rsid w:val="00d15580"/>
    <w:pPr>
      <w:keepNext/>
      <w:spacing w:lineRule="auto" w:line="276" w:before="480" w:after="160"/>
    </w:pPr>
    <w:rPr>
      <w:rFonts w:ascii="Cambria" w:hAnsi="Cambria" w:eastAsia="Times New Roman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"/>
    <w:autoRedefine/>
    <w:uiPriority w:val="39"/>
    <w:unhideWhenUsed/>
    <w:qFormat/>
    <w:rsid w:val="00d15580"/>
    <w:pPr>
      <w:spacing w:before="0" w:after="100"/>
    </w:pPr>
    <w:rPr/>
  </w:style>
  <w:style w:type="paragraph" w:styleId="Spistreci2">
    <w:name w:val="TOC 2"/>
    <w:basedOn w:val="Normal"/>
    <w:autoRedefine/>
    <w:uiPriority w:val="39"/>
    <w:unhideWhenUsed/>
    <w:qFormat/>
    <w:rsid w:val="00d15580"/>
    <w:pPr>
      <w:spacing w:lineRule="auto" w:line="276" w:before="0" w:after="100"/>
      <w:ind w:left="220" w:hanging="0"/>
    </w:pPr>
    <w:rPr>
      <w:rFonts w:eastAsia="Times New Roman"/>
    </w:rPr>
  </w:style>
  <w:style w:type="paragraph" w:styleId="Footnotetext">
    <w:name w:val="footnote text"/>
    <w:basedOn w:val="Normal"/>
    <w:link w:val="TekstprzypisudolnegoZnak"/>
    <w:unhideWhenUsed/>
    <w:qFormat/>
    <w:rsid w:val="001d6799"/>
    <w:pPr>
      <w:spacing w:lineRule="auto" w:line="240" w:before="0" w:after="0"/>
    </w:pPr>
    <w:rPr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d6799"/>
    <w:pPr>
      <w:spacing w:lineRule="auto" w:line="276"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4761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4761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41721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1721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72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d65b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0331ad"/>
    <w:pPr>
      <w:spacing w:lineRule="auto" w:line="240" w:before="0" w:after="0"/>
    </w:pPr>
    <w:rPr>
      <w:sz w:val="20"/>
      <w:szCs w:val="20"/>
    </w:rPr>
  </w:style>
  <w:style w:type="paragraph" w:styleId="Spistreci3">
    <w:name w:val="TOC 3"/>
    <w:basedOn w:val="Normal"/>
    <w:autoRedefine/>
    <w:uiPriority w:val="39"/>
    <w:semiHidden/>
    <w:unhideWhenUsed/>
    <w:rsid w:val="0097612b"/>
    <w:pPr>
      <w:spacing w:before="0" w:after="100"/>
      <w:ind w:left="440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ekonomiaspoleczna.gov.pl/download/files/EKONOMIA_SPOLECZNA/Rekomendacje_intermet.pdf" TargetMode="External"/><Relationship Id="rId2" Type="http://schemas.openxmlformats.org/officeDocument/2006/relationships/hyperlink" Target="http://www.gov.pl/premier/promocja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31751B9-EE9B-4C4C-901E-409EEB9B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21</Pages>
  <Words>6081</Words>
  <CharactersWithSpaces>36487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2020-10-22T14:20:00Z</dcterms:created>
  <dc:creator/>
  <dc:description/>
  <dc:language>pl-PL</dc:language>
  <cp:lastModifiedBy/>
  <dcterms:modified xsi:type="dcterms:W3CDTF">2020-12-01T08:15:00Z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